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ind w:firstLine="0"/>
        <w:jc w:val="center"/>
        <w:rPr>
          <w:rFonts w:ascii="Arial" w:hAnsi="Arial" w:cs="Arial"/>
          <w:b/>
          <w:sz w:val="22"/>
          <w:szCs w:val="24"/>
          <w:lang w:val="en-GB"/>
        </w:rPr>
      </w:pPr>
      <w:bookmarkStart w:id="0" w:name="_Toc330535262"/>
      <w:bookmarkStart w:id="1" w:name="_Toc330535324"/>
      <w:bookmarkStart w:id="2" w:name="_Toc330535350"/>
      <w:bookmarkStart w:id="3" w:name="_Toc330964702"/>
      <w:bookmarkStart w:id="4" w:name="_Toc453596053"/>
      <w:bookmarkStart w:id="5" w:name="_Toc454451152"/>
      <w:bookmarkStart w:id="6" w:name="_Toc468430107"/>
      <w:r>
        <w:rPr>
          <w:rFonts w:ascii="Arial" w:hAnsi="Arial" w:cs="Arial"/>
          <w:b/>
          <w:sz w:val="22"/>
          <w:szCs w:val="24"/>
          <w:lang w:val="en-GB"/>
        </w:rPr>
        <w:t>AMBANG DETEKSI DAN PREFERENSI RASA UMAMI DALAM MODEL PANGAN</w:t>
      </w:r>
    </w:p>
    <w:p>
      <w:pPr>
        <w:spacing w:line="360" w:lineRule="auto"/>
        <w:ind w:firstLine="0"/>
        <w:jc w:val="center"/>
        <w:rPr>
          <w:rFonts w:ascii="Arial" w:hAnsi="Arial" w:cs="Arial"/>
          <w:i/>
          <w:sz w:val="22"/>
          <w:szCs w:val="24"/>
        </w:rPr>
      </w:pPr>
      <w:r>
        <w:rPr>
          <w:rFonts w:ascii="Arial" w:hAnsi="Arial" w:cs="Arial"/>
          <w:i/>
          <w:sz w:val="22"/>
          <w:szCs w:val="24"/>
          <w:lang w:val="en-GB"/>
        </w:rPr>
        <w:t>(DETECTION AND PREFERENCE THRESHOLD OF UMAMI TASTE IN FOOD MODEL)</w:t>
      </w:r>
    </w:p>
    <w:p>
      <w:pPr>
        <w:pStyle w:val="Heading2"/>
        <w:spacing w:line="360" w:lineRule="auto"/>
        <w:rPr>
          <w:rFonts w:ascii="Arial" w:hAnsi="Arial" w:cs="Arial"/>
          <w:sz w:val="22"/>
          <w:szCs w:val="24"/>
        </w:rPr>
      </w:pPr>
      <w:r>
        <w:rPr>
          <w:rFonts w:ascii="Arial" w:hAnsi="Arial" w:cs="Arial"/>
          <w:sz w:val="22"/>
          <w:szCs w:val="24"/>
        </w:rPr>
        <w:t>Dede R. Adawiyah</w:t>
      </w:r>
      <w:r>
        <w:rPr>
          <w:rFonts w:ascii="Arial" w:hAnsi="Arial" w:cs="Arial"/>
          <w:sz w:val="22"/>
          <w:szCs w:val="24"/>
          <w:vertAlign w:val="superscript"/>
        </w:rPr>
        <w:t>1,2)</w:t>
      </w:r>
      <w:r>
        <w:rPr>
          <w:rFonts w:ascii="Arial" w:hAnsi="Arial" w:cs="Arial"/>
          <w:sz w:val="22"/>
          <w:szCs w:val="24"/>
        </w:rPr>
        <w:t>, Febby Setiawan</w:t>
      </w:r>
      <w:r>
        <w:rPr>
          <w:rFonts w:ascii="Arial" w:hAnsi="Arial" w:cs="Arial"/>
          <w:sz w:val="22"/>
          <w:szCs w:val="24"/>
          <w:vertAlign w:val="superscript"/>
        </w:rPr>
        <w:t>2)</w:t>
      </w:r>
    </w:p>
    <w:p>
      <w:pPr>
        <w:pStyle w:val="ListParagraph"/>
        <w:numPr>
          <w:ilvl w:val="0"/>
          <w:numId w:val="45"/>
        </w:numPr>
        <w:rPr>
          <w:rFonts w:ascii="Arial" w:hAnsi="Arial" w:cs="Arial"/>
          <w:sz w:val="22"/>
        </w:rPr>
      </w:pPr>
      <w:r>
        <w:rPr>
          <w:rFonts w:ascii="Arial" w:hAnsi="Arial" w:cs="Arial"/>
          <w:sz w:val="22"/>
        </w:rPr>
        <w:t>SEAFAST Center, LPPM, Institut Pertanian Bogor, Bogor</w:t>
      </w:r>
    </w:p>
    <w:p>
      <w:pPr>
        <w:pStyle w:val="ListParagraph"/>
        <w:numPr>
          <w:ilvl w:val="0"/>
          <w:numId w:val="45"/>
        </w:numPr>
        <w:ind w:left="0" w:firstLine="90"/>
        <w:jc w:val="center"/>
        <w:rPr>
          <w:rFonts w:ascii="Arial" w:hAnsi="Arial" w:cs="Arial"/>
          <w:sz w:val="22"/>
        </w:rPr>
      </w:pPr>
      <w:r>
        <w:rPr>
          <w:rFonts w:ascii="Arial" w:hAnsi="Arial" w:cs="Arial"/>
          <w:sz w:val="22"/>
        </w:rPr>
        <w:t>Departemen Ilmu dan Teknologi Pangan, Fakultas Teknologi Pertanian, Institut Pertanian Bogor, Bogor</w:t>
      </w:r>
    </w:p>
    <w:p>
      <w:pPr>
        <w:pStyle w:val="ListParagraph"/>
        <w:ind w:left="90" w:firstLine="0"/>
        <w:rPr>
          <w:rFonts w:ascii="Arial" w:hAnsi="Arial" w:cs="Arial"/>
          <w:sz w:val="22"/>
        </w:rPr>
      </w:pPr>
    </w:p>
    <w:p>
      <w:pPr>
        <w:spacing w:line="276" w:lineRule="auto"/>
        <w:ind w:firstLine="0"/>
        <w:jc w:val="center"/>
        <w:outlineLvl w:val="0"/>
        <w:rPr>
          <w:rFonts w:ascii="Arial" w:hAnsi="Arial" w:cs="Arial"/>
          <w:b/>
          <w:lang w:val="id-ID"/>
        </w:rPr>
      </w:pPr>
      <w:r>
        <w:rPr>
          <w:rFonts w:ascii="Arial" w:hAnsi="Arial" w:cs="Arial"/>
          <w:b/>
          <w:lang w:val="id-ID"/>
        </w:rPr>
        <w:t>ABSTRACT</w:t>
      </w:r>
    </w:p>
    <w:p>
      <w:pPr>
        <w:pStyle w:val="ListParagraph"/>
        <w:ind w:left="90" w:firstLine="0"/>
        <w:rPr>
          <w:rFonts w:ascii="Arial" w:hAnsi="Arial" w:cs="Arial"/>
          <w:sz w:val="22"/>
        </w:rPr>
      </w:pPr>
    </w:p>
    <w:bookmarkEnd w:id="0"/>
    <w:bookmarkEnd w:id="1"/>
    <w:bookmarkEnd w:id="2"/>
    <w:bookmarkEnd w:id="3"/>
    <w:bookmarkEnd w:id="4"/>
    <w:bookmarkEnd w:id="5"/>
    <w:bookmarkEnd w:id="6"/>
    <w:p>
      <w:pPr>
        <w:pStyle w:val="Default"/>
        <w:jc w:val="both"/>
        <w:rPr>
          <w:rFonts w:ascii="Arial" w:hAnsi="Arial" w:cs="Arial"/>
          <w:sz w:val="22"/>
        </w:rPr>
      </w:pPr>
      <w:r>
        <w:rPr>
          <w:rFonts w:ascii="Arial" w:hAnsi="Arial" w:cs="Arial"/>
          <w:sz w:val="22"/>
          <w:lang w:val="id-ID"/>
        </w:rPr>
        <w:t xml:space="preserve">Umami </w:t>
      </w:r>
      <w:r>
        <w:rPr>
          <w:rFonts w:ascii="Arial" w:hAnsi="Arial" w:cs="Arial"/>
          <w:sz w:val="22"/>
        </w:rPr>
        <w:t>is</w:t>
      </w:r>
      <w:r>
        <w:rPr>
          <w:rFonts w:ascii="Arial" w:hAnsi="Arial" w:cs="Arial"/>
          <w:sz w:val="22"/>
          <w:lang w:val="id-ID"/>
        </w:rPr>
        <w:t xml:space="preserve"> </w:t>
      </w:r>
      <w:r>
        <w:rPr>
          <w:rFonts w:ascii="Arial" w:hAnsi="Arial" w:cs="Arial"/>
          <w:sz w:val="22"/>
        </w:rPr>
        <w:t xml:space="preserve">one of basic taste caused by Monosodium glutamate (MSG). Generally, commercial </w:t>
      </w:r>
      <w:r>
        <w:rPr>
          <w:rFonts w:ascii="Arial" w:hAnsi="Arial" w:cs="Arial"/>
          <w:sz w:val="22"/>
          <w:lang w:val="id-ID"/>
        </w:rPr>
        <w:t>MSG</w:t>
      </w:r>
      <w:r>
        <w:rPr>
          <w:rFonts w:ascii="Arial" w:hAnsi="Arial" w:cs="Arial"/>
          <w:sz w:val="22"/>
        </w:rPr>
        <w:t xml:space="preserve"> products</w:t>
      </w:r>
      <w:r>
        <w:rPr>
          <w:rFonts w:ascii="Arial" w:hAnsi="Arial" w:cs="Arial"/>
          <w:sz w:val="22"/>
          <w:lang w:val="id-ID"/>
        </w:rPr>
        <w:t xml:space="preserve"> </w:t>
      </w:r>
      <w:r>
        <w:rPr>
          <w:rFonts w:ascii="Arial" w:hAnsi="Arial" w:cs="Arial"/>
          <w:sz w:val="22"/>
        </w:rPr>
        <w:t>did not</w:t>
      </w:r>
      <w:r>
        <w:rPr>
          <w:rFonts w:ascii="Arial" w:hAnsi="Arial" w:cs="Arial"/>
          <w:sz w:val="22"/>
          <w:lang w:val="id-ID"/>
        </w:rPr>
        <w:t xml:space="preserve"> </w:t>
      </w:r>
      <w:r>
        <w:rPr>
          <w:rFonts w:ascii="Arial" w:hAnsi="Arial" w:cs="Arial"/>
          <w:sz w:val="22"/>
        </w:rPr>
        <w:t>specify</w:t>
      </w:r>
      <w:r>
        <w:rPr>
          <w:rFonts w:ascii="Arial" w:hAnsi="Arial" w:cs="Arial"/>
          <w:sz w:val="22"/>
          <w:lang w:val="id-ID"/>
        </w:rPr>
        <w:t xml:space="preserve"> </w:t>
      </w:r>
      <w:r>
        <w:rPr>
          <w:rFonts w:ascii="Arial" w:hAnsi="Arial" w:cs="Arial"/>
          <w:sz w:val="22"/>
        </w:rPr>
        <w:t>the amount of a certain doses</w:t>
      </w:r>
      <w:r>
        <w:rPr>
          <w:rFonts w:ascii="Arial" w:hAnsi="Arial" w:cs="Arial"/>
          <w:sz w:val="22"/>
          <w:lang w:val="id-ID"/>
        </w:rPr>
        <w:t xml:space="preserve"> </w:t>
      </w:r>
      <w:r>
        <w:rPr>
          <w:rFonts w:ascii="Arial" w:hAnsi="Arial" w:cs="Arial"/>
          <w:sz w:val="22"/>
        </w:rPr>
        <w:t>to produce</w:t>
      </w:r>
      <w:r>
        <w:rPr>
          <w:rFonts w:ascii="Arial" w:hAnsi="Arial" w:cs="Arial"/>
          <w:sz w:val="22"/>
          <w:lang w:val="id-ID"/>
        </w:rPr>
        <w:t xml:space="preserve"> </w:t>
      </w:r>
      <w:r>
        <w:rPr>
          <w:rFonts w:ascii="Arial" w:hAnsi="Arial" w:cs="Arial"/>
          <w:sz w:val="22"/>
        </w:rPr>
        <w:t>palatable food</w:t>
      </w:r>
      <w:r>
        <w:rPr>
          <w:rFonts w:ascii="Arial" w:hAnsi="Arial" w:cs="Arial"/>
          <w:sz w:val="22"/>
          <w:lang w:val="id-ID"/>
        </w:rPr>
        <w:t xml:space="preserve">. </w:t>
      </w:r>
      <w:r>
        <w:rPr>
          <w:rFonts w:ascii="Arial" w:hAnsi="Arial" w:cs="Arial"/>
          <w:sz w:val="22"/>
        </w:rPr>
        <w:t xml:space="preserve">This problem led to uncontrolled and excessive usage of MSG in the consumer. </w:t>
      </w:r>
      <w:r>
        <w:rPr>
          <w:rFonts w:ascii="Arial" w:hAnsi="Arial" w:cs="Arial"/>
          <w:sz w:val="22"/>
          <w:lang w:val="id-ID"/>
        </w:rPr>
        <w:t xml:space="preserve">The aim of </w:t>
      </w:r>
      <w:r>
        <w:rPr>
          <w:rFonts w:ascii="Arial" w:hAnsi="Arial" w:cs="Arial"/>
          <w:sz w:val="22"/>
        </w:rPr>
        <w:t xml:space="preserve">this </w:t>
      </w:r>
      <w:r>
        <w:rPr>
          <w:rFonts w:ascii="Arial" w:hAnsi="Arial" w:cs="Arial"/>
          <w:sz w:val="22"/>
          <w:lang w:val="id-ID"/>
        </w:rPr>
        <w:t xml:space="preserve">study was to determine </w:t>
      </w:r>
      <w:r>
        <w:rPr>
          <w:rFonts w:ascii="Arial" w:hAnsi="Arial" w:cs="Arial"/>
          <w:sz w:val="22"/>
        </w:rPr>
        <w:t xml:space="preserve">value of the </w:t>
      </w:r>
      <w:r>
        <w:rPr>
          <w:rFonts w:ascii="Arial" w:hAnsi="Arial" w:cs="Arial"/>
          <w:sz w:val="22"/>
          <w:lang w:val="id-ID"/>
        </w:rPr>
        <w:t>detection</w:t>
      </w:r>
      <w:r>
        <w:rPr>
          <w:rFonts w:ascii="Arial" w:hAnsi="Arial" w:cs="Arial"/>
          <w:sz w:val="22"/>
        </w:rPr>
        <w:t xml:space="preserve"> and preference threshold of </w:t>
      </w:r>
      <w:r>
        <w:rPr>
          <w:rFonts w:ascii="Arial" w:hAnsi="Arial" w:cs="Arial"/>
          <w:sz w:val="22"/>
          <w:lang/>
        </w:rPr>
        <w:t>umami taste from commercial MSG products at different level of salt</w:t>
      </w:r>
      <w:r>
        <w:rPr>
          <w:rFonts w:ascii="Arial" w:hAnsi="Arial" w:cs="Arial"/>
          <w:sz w:val="22"/>
          <w:lang w:val="id-ID"/>
        </w:rPr>
        <w:t>.</w:t>
      </w:r>
      <w:r>
        <w:rPr>
          <w:rFonts w:ascii="Arial" w:hAnsi="Arial" w:cs="Arial"/>
          <w:sz w:val="22"/>
        </w:rPr>
        <w:t xml:space="preserve"> Detection threshold was determined using R-index method in salt solutions. Preference threshold was determined by using hedonic rating in food model. </w:t>
      </w:r>
      <w:r>
        <w:rPr>
          <w:rFonts w:ascii="Arial" w:hAnsi="Arial" w:cs="Arial"/>
          <w:sz w:val="22"/>
          <w:lang/>
        </w:rPr>
        <w:t>Food models selected in this case is spinach soup that is commonly consumed by Indonesian.</w:t>
      </w:r>
      <w:r>
        <w:rPr>
          <w:rFonts w:ascii="Arial" w:hAnsi="Arial" w:cs="Arial"/>
          <w:sz w:val="22"/>
        </w:rPr>
        <w:t xml:space="preserve"> The salt concentrations for detection and preference threshold experiment were 0.42 g/100 mL and 0.30 g/100 mL. Umami taste preference threshold value using Fechner’s psychophysical equation for 0.30 g/100 mL salt concentration is 0.25 g MSG/100 mL, while for 0.42 g/100 mL salt concentration, the umami taste preference threshold value is 0.06 g MSG/100 mL. </w:t>
      </w:r>
      <w:r>
        <w:rPr>
          <w:rFonts w:ascii="Arial" w:hAnsi="Arial" w:cs="Arial"/>
          <w:sz w:val="22"/>
          <w:lang/>
        </w:rPr>
        <w:t xml:space="preserve">Detection threshold value using R-index method for 0.30 </w:t>
      </w:r>
      <w:r>
        <w:rPr>
          <w:rFonts w:ascii="Arial" w:hAnsi="Arial" w:cs="Arial"/>
          <w:sz w:val="22"/>
        </w:rPr>
        <w:t>g/100 mL</w:t>
      </w:r>
      <w:r>
        <w:rPr>
          <w:rFonts w:ascii="Arial" w:hAnsi="Arial" w:cs="Arial"/>
          <w:sz w:val="22"/>
          <w:lang/>
        </w:rPr>
        <w:t xml:space="preserve"> salt concentration is 0.05 </w:t>
      </w:r>
      <w:r>
        <w:rPr>
          <w:rFonts w:ascii="Arial" w:hAnsi="Arial" w:cs="Arial"/>
          <w:sz w:val="22"/>
        </w:rPr>
        <w:t>g MSG/100 mL</w:t>
      </w:r>
      <w:r>
        <w:rPr>
          <w:rFonts w:ascii="Arial" w:hAnsi="Arial" w:cs="Arial"/>
          <w:sz w:val="22"/>
          <w:lang/>
        </w:rPr>
        <w:t xml:space="preserve">, while for 0.42 </w:t>
      </w:r>
      <w:r>
        <w:rPr>
          <w:rFonts w:ascii="Arial" w:hAnsi="Arial" w:cs="Arial"/>
          <w:sz w:val="22"/>
        </w:rPr>
        <w:t>g/100 mL</w:t>
      </w:r>
      <w:r>
        <w:rPr>
          <w:rFonts w:ascii="Arial" w:hAnsi="Arial" w:cs="Arial"/>
          <w:sz w:val="22"/>
          <w:lang/>
        </w:rPr>
        <w:t xml:space="preserve"> salt concentration is 0.02 </w:t>
      </w:r>
      <w:r>
        <w:rPr>
          <w:rFonts w:ascii="Arial" w:hAnsi="Arial" w:cs="Arial"/>
          <w:sz w:val="22"/>
        </w:rPr>
        <w:t xml:space="preserve">g MSG/100 mL. </w:t>
      </w:r>
      <w:r>
        <w:rPr>
          <w:rFonts w:ascii="Arial" w:hAnsi="Arial" w:cs="Arial"/>
          <w:sz w:val="22"/>
          <w:lang/>
        </w:rPr>
        <w:t>Different salt concentrations lead to differences in the value of threshold preferences and detection threshold of the umami taste of MSG. Increasing of salt concentration tend to decrease detection and preference threshold of umami taste from MSG.</w:t>
      </w:r>
    </w:p>
    <w:p>
      <w:pPr>
        <w:pStyle w:val="Default"/>
        <w:jc w:val="both"/>
        <w:rPr>
          <w:rFonts w:ascii="Arial" w:hAnsi="Arial" w:cs="Arial"/>
          <w:sz w:val="22"/>
        </w:rPr>
      </w:pPr>
    </w:p>
    <w:p>
      <w:pPr>
        <w:ind w:firstLine="0"/>
        <w:rPr>
          <w:rFonts w:ascii="Arial" w:hAnsi="Arial" w:cs="Arial"/>
          <w:sz w:val="22"/>
          <w:szCs w:val="24"/>
        </w:rPr>
      </w:pPr>
      <w:r>
        <w:rPr>
          <w:rFonts w:ascii="Arial" w:hAnsi="Arial" w:cs="Arial"/>
          <w:sz w:val="22"/>
          <w:szCs w:val="24"/>
          <w:lang w:eastAsia="ko-KR"/>
        </w:rPr>
        <w:t xml:space="preserve">Keywords: </w:t>
      </w:r>
      <w:r>
        <w:rPr>
          <w:rFonts w:ascii="Arial" w:hAnsi="Arial" w:cs="Arial"/>
          <w:i/>
          <w:sz w:val="22"/>
          <w:szCs w:val="24"/>
          <w:lang w:eastAsia="ko-KR"/>
        </w:rPr>
        <w:t>detection threshold, MSG, preference threshold, , r-index, umami</w:t>
      </w:r>
    </w:p>
    <w:p>
      <w:pPr>
        <w:spacing w:line="360" w:lineRule="auto"/>
        <w:ind w:firstLine="0"/>
        <w:rPr>
          <w:rFonts w:ascii="Arial" w:hAnsi="Arial" w:cs="Arial"/>
          <w:sz w:val="22"/>
          <w:szCs w:val="24"/>
        </w:rPr>
      </w:pPr>
    </w:p>
    <w:p>
      <w:pPr>
        <w:spacing w:line="360" w:lineRule="auto"/>
        <w:ind w:firstLine="0"/>
        <w:jc w:val="center"/>
        <w:rPr>
          <w:rFonts w:ascii="Arial" w:hAnsi="Arial" w:cs="Arial"/>
          <w:b/>
          <w:sz w:val="22"/>
          <w:szCs w:val="24"/>
        </w:rPr>
      </w:pPr>
      <w:r>
        <w:rPr>
          <w:rFonts w:ascii="Arial" w:hAnsi="Arial" w:cs="Arial"/>
          <w:b/>
          <w:sz w:val="22"/>
          <w:szCs w:val="24"/>
        </w:rPr>
        <w:t>ABSTRAK</w:t>
      </w:r>
    </w:p>
    <w:p>
      <w:pPr>
        <w:pStyle w:val="Default"/>
        <w:jc w:val="both"/>
        <w:rPr>
          <w:rFonts w:ascii="Arial" w:hAnsi="Arial" w:cs="Arial"/>
          <w:sz w:val="22"/>
        </w:rPr>
      </w:pPr>
      <w:r>
        <w:rPr>
          <w:rFonts w:ascii="Arial" w:hAnsi="Arial" w:cs="Arial"/>
          <w:sz w:val="22"/>
        </w:rPr>
        <w:t xml:space="preserve">Umami merupakan salah satu rasa dasar yang bersumber dari Monosodium glutamat (MSG). Produk MSG komersial umumnya tidak mencantumkan jumlah atau dosis tertentu yang dibutuhkan untuk menghasilkan citarasa yang gurih. Permasalahan ini menyebabkan penggunaan MSG yang berlebihan dan tidak terkontrol oleh konsumen. Tujuan penelitian ini yaitu menentukan nilai ambang deteksi dan ambang preferensi rasa umami dari bahan MSG komersial pada konsentrasi garam yang berbeda. Ambang deteksi ditentukan menggunakan metode R-index dalam larutan garam. Ambang preferensi ditentukan menggunakan metode rating hedonic terhadap model pangan. Model pangan yang dipilih dalam hal ini adalah sayur bayam yang banyak dikonsumsi oleh masyarakat Indonesia. Konsentrasi garam yang digunakan adalah 0.30 g /100 mL dan 0.42 g/100 mL dalam pelarut air. Nilai ambang preferensi rasa umami model psikofisik fechner pada </w:t>
      </w:r>
      <w:r>
        <w:rPr>
          <w:rFonts w:ascii="Arial" w:hAnsi="Arial" w:cs="Arial"/>
          <w:sz w:val="22"/>
          <w:lang/>
        </w:rPr>
        <w:t xml:space="preserve">konsentrasi garam 0.30 </w:t>
      </w:r>
      <w:r>
        <w:rPr>
          <w:rFonts w:ascii="Arial" w:hAnsi="Arial" w:cs="Arial"/>
          <w:sz w:val="22"/>
        </w:rPr>
        <w:t>g/100 mL</w:t>
      </w:r>
      <w:r>
        <w:rPr>
          <w:rFonts w:ascii="Arial" w:hAnsi="Arial" w:cs="Arial"/>
          <w:sz w:val="22"/>
          <w:lang/>
        </w:rPr>
        <w:t xml:space="preserve"> adalah 0.25 </w:t>
      </w:r>
      <w:r>
        <w:rPr>
          <w:rFonts w:ascii="Arial" w:hAnsi="Arial" w:cs="Arial"/>
          <w:sz w:val="22"/>
        </w:rPr>
        <w:t>g MSG/100 mL</w:t>
      </w:r>
      <w:r>
        <w:rPr>
          <w:rFonts w:ascii="Arial" w:hAnsi="Arial" w:cs="Arial"/>
          <w:sz w:val="22"/>
          <w:lang/>
        </w:rPr>
        <w:t xml:space="preserve">, sedangkan pada konsentrasi garam 0.42 </w:t>
      </w:r>
      <w:r>
        <w:rPr>
          <w:rFonts w:ascii="Arial" w:hAnsi="Arial" w:cs="Arial"/>
          <w:sz w:val="22"/>
        </w:rPr>
        <w:t>g/100 mL</w:t>
      </w:r>
      <w:r>
        <w:rPr>
          <w:rFonts w:ascii="Arial" w:hAnsi="Arial" w:cs="Arial"/>
          <w:sz w:val="22"/>
          <w:lang/>
        </w:rPr>
        <w:t xml:space="preserve"> adalah 0.06 </w:t>
      </w:r>
      <w:r>
        <w:rPr>
          <w:rFonts w:ascii="Arial" w:hAnsi="Arial" w:cs="Arial"/>
          <w:sz w:val="22"/>
        </w:rPr>
        <w:t>g MSG/100 mL</w:t>
      </w:r>
      <w:r>
        <w:rPr>
          <w:rFonts w:ascii="Arial" w:hAnsi="Arial" w:cs="Arial"/>
          <w:sz w:val="22"/>
          <w:lang/>
        </w:rPr>
        <w:t>.</w:t>
      </w:r>
      <w:r>
        <w:rPr>
          <w:rFonts w:ascii="Arial" w:hAnsi="Arial" w:cs="Arial"/>
          <w:sz w:val="22"/>
        </w:rPr>
        <w:t xml:space="preserve"> </w:t>
      </w:r>
      <w:r>
        <w:rPr>
          <w:rFonts w:ascii="Arial" w:hAnsi="Arial" w:cs="Arial"/>
          <w:sz w:val="22"/>
          <w:lang/>
        </w:rPr>
        <w:t xml:space="preserve">Nilai ambang deteksi dengan metode R-Index pada konsentrasi garam 0.30 </w:t>
      </w:r>
      <w:r>
        <w:rPr>
          <w:rFonts w:ascii="Arial" w:hAnsi="Arial" w:cs="Arial"/>
          <w:sz w:val="22"/>
        </w:rPr>
        <w:t>g/100 mL</w:t>
      </w:r>
      <w:r>
        <w:rPr>
          <w:rFonts w:ascii="Arial" w:hAnsi="Arial" w:cs="Arial"/>
          <w:sz w:val="22"/>
          <w:lang/>
        </w:rPr>
        <w:t xml:space="preserve"> yaitu 0.05 </w:t>
      </w:r>
      <w:r>
        <w:rPr>
          <w:rFonts w:ascii="Arial" w:hAnsi="Arial" w:cs="Arial"/>
          <w:sz w:val="22"/>
        </w:rPr>
        <w:t>g MSG/100 mL</w:t>
      </w:r>
      <w:r>
        <w:rPr>
          <w:rFonts w:ascii="Arial" w:hAnsi="Arial" w:cs="Arial"/>
          <w:sz w:val="22"/>
          <w:lang/>
        </w:rPr>
        <w:t xml:space="preserve">, sedangkan nilai R-Index pada konsentrasi garam 0.42 </w:t>
      </w:r>
      <w:r>
        <w:rPr>
          <w:rFonts w:ascii="Arial" w:hAnsi="Arial" w:cs="Arial"/>
          <w:sz w:val="22"/>
        </w:rPr>
        <w:t>g/100 mL</w:t>
      </w:r>
      <w:r>
        <w:rPr>
          <w:rFonts w:ascii="Arial" w:hAnsi="Arial" w:cs="Arial"/>
          <w:sz w:val="22"/>
          <w:lang/>
        </w:rPr>
        <w:t xml:space="preserve"> yaitu 0.01</w:t>
      </w:r>
      <w:r>
        <w:rPr>
          <w:rFonts w:ascii="Arial" w:hAnsi="Arial" w:cs="Arial"/>
          <w:sz w:val="22"/>
        </w:rPr>
        <w:t xml:space="preserve"> g MSG/100 mL</w:t>
      </w:r>
      <w:r>
        <w:rPr>
          <w:rFonts w:ascii="Arial" w:hAnsi="Arial" w:cs="Arial"/>
          <w:sz w:val="22"/>
          <w:lang/>
        </w:rPr>
        <w:t xml:space="preserve">. </w:t>
      </w:r>
      <w:r>
        <w:rPr>
          <w:rFonts w:ascii="Arial" w:hAnsi="Arial" w:cs="Arial"/>
          <w:sz w:val="22"/>
        </w:rPr>
        <w:t xml:space="preserve">Perbedaan konsentrasi garam menyebabkan perbedaan nilai ambang preferensi dan ambang deteksi rasa umami </w:t>
      </w:r>
      <w:r>
        <w:rPr>
          <w:rFonts w:ascii="Arial" w:hAnsi="Arial" w:cs="Arial"/>
          <w:sz w:val="22"/>
        </w:rPr>
        <w:lastRenderedPageBreak/>
        <w:t>dari MSG. Semakin tinggi konsentrasi garam cenderung menurunkan ambang deteksi dan ambang preferensi umami dari MSG.</w:t>
      </w:r>
    </w:p>
    <w:p>
      <w:pPr>
        <w:pStyle w:val="Paragraf"/>
        <w:ind w:firstLine="0"/>
        <w:rPr>
          <w:rFonts w:ascii="Arial" w:hAnsi="Arial"/>
          <w:sz w:val="22"/>
          <w:lang w:val="en-US"/>
        </w:rPr>
      </w:pPr>
    </w:p>
    <w:p>
      <w:pPr>
        <w:pStyle w:val="Paragraf"/>
        <w:ind w:left="1260" w:hanging="1260"/>
        <w:rPr>
          <w:rFonts w:ascii="Arial" w:hAnsi="Arial"/>
          <w:i/>
          <w:sz w:val="22"/>
          <w:lang w:val="en-US"/>
        </w:rPr>
      </w:pPr>
      <w:r>
        <w:rPr>
          <w:rFonts w:ascii="Arial" w:hAnsi="Arial"/>
          <w:sz w:val="22"/>
        </w:rPr>
        <w:t xml:space="preserve">Kata kunci: </w:t>
      </w:r>
      <w:r>
        <w:rPr>
          <w:rFonts w:ascii="Arial" w:hAnsi="Arial"/>
          <w:i/>
          <w:sz w:val="22"/>
          <w:lang w:val="en-US"/>
        </w:rPr>
        <w:t xml:space="preserve">ambang deteksi, ambang preferensi, MSG, r-index, umami </w:t>
      </w:r>
    </w:p>
    <w:p>
      <w:pPr>
        <w:spacing w:line="360" w:lineRule="auto"/>
        <w:ind w:firstLine="0"/>
        <w:rPr>
          <w:rFonts w:ascii="Arial" w:hAnsi="Arial" w:cs="Arial"/>
          <w:sz w:val="22"/>
          <w:szCs w:val="24"/>
        </w:rPr>
      </w:pPr>
    </w:p>
    <w:p>
      <w:pPr>
        <w:spacing w:line="360" w:lineRule="auto"/>
        <w:ind w:firstLine="720"/>
        <w:jc w:val="center"/>
        <w:rPr>
          <w:rFonts w:ascii="Arial" w:hAnsi="Arial" w:cs="Arial"/>
          <w:b/>
          <w:sz w:val="22"/>
          <w:szCs w:val="24"/>
        </w:rPr>
      </w:pPr>
      <w:r>
        <w:rPr>
          <w:rFonts w:ascii="Arial" w:hAnsi="Arial" w:cs="Arial"/>
          <w:b/>
          <w:sz w:val="22"/>
          <w:szCs w:val="24"/>
        </w:rPr>
        <w:t>PENDAHULUAN</w:t>
      </w:r>
    </w:p>
    <w:p>
      <w:pPr>
        <w:spacing w:line="360" w:lineRule="auto"/>
        <w:ind w:firstLine="720"/>
        <w:rPr>
          <w:rFonts w:ascii="Arial" w:hAnsi="Arial" w:cs="Arial"/>
          <w:sz w:val="22"/>
          <w:szCs w:val="24"/>
        </w:rPr>
      </w:pPr>
      <w:r>
        <w:rPr>
          <w:rFonts w:ascii="Arial" w:hAnsi="Arial" w:cs="Arial"/>
          <w:sz w:val="22"/>
          <w:szCs w:val="24"/>
        </w:rPr>
        <w:t xml:space="preserve">Umami merupakan salah satu rasa dasar yang dikenal luas sebagai rasa gurih oleh masyarakat Indonesia. Rasa umami disebabkan oleh adanya komponen monosodium glutamat (MSG) dan ribosida seperti garam 5-inosin-monofosfat (IMP) dan 5-guanin-monofosfat (GMP). Selain itu, glutamat bebas banyak terkandung pada produk pangan yang dikonsumsi sehari-hari seperti produk daging, buah-buahan, sayuran, dan bumbu masakan instan (Andarwulan </w:t>
      </w:r>
      <w:r>
        <w:rPr>
          <w:rFonts w:ascii="Arial" w:hAnsi="Arial" w:cs="Arial"/>
          <w:i/>
          <w:sz w:val="22"/>
          <w:szCs w:val="24"/>
        </w:rPr>
        <w:t>et al.</w:t>
      </w:r>
      <w:r>
        <w:rPr>
          <w:rFonts w:ascii="Arial" w:hAnsi="Arial" w:cs="Arial"/>
          <w:sz w:val="22"/>
          <w:szCs w:val="24"/>
        </w:rPr>
        <w:t xml:space="preserve"> 2012).</w:t>
      </w:r>
    </w:p>
    <w:p>
      <w:pPr>
        <w:spacing w:line="360" w:lineRule="auto"/>
        <w:ind w:firstLine="720"/>
        <w:rPr>
          <w:rFonts w:ascii="Arial" w:hAnsi="Arial" w:cs="Arial"/>
          <w:sz w:val="22"/>
          <w:szCs w:val="24"/>
        </w:rPr>
      </w:pPr>
      <w:r>
        <w:rPr>
          <w:rFonts w:ascii="Arial" w:hAnsi="Arial" w:cs="Arial"/>
          <w:sz w:val="22"/>
          <w:szCs w:val="24"/>
        </w:rPr>
        <w:t xml:space="preserve">Berdasarkan survei yang dilakukan oleh Kementerian Kesehatan (2007), MSG dikonsumsi oleh sekitar 77.8% populasi di Indonesia. Andarwulan </w:t>
      </w:r>
      <w:r>
        <w:rPr>
          <w:rFonts w:ascii="Arial" w:hAnsi="Arial" w:cs="Arial"/>
          <w:i/>
          <w:sz w:val="22"/>
          <w:szCs w:val="24"/>
        </w:rPr>
        <w:t>et al.</w:t>
      </w:r>
      <w:r>
        <w:rPr>
          <w:rFonts w:ascii="Arial" w:hAnsi="Arial" w:cs="Arial"/>
          <w:sz w:val="22"/>
          <w:szCs w:val="24"/>
        </w:rPr>
        <w:t xml:space="preserve"> (2012) menyatakan bahwa asupan asam glutamat bebas yang berasal dari pangan pada masyarakat di Jakarta dan Bogor yaitu 2013.76 mg/kap/hari dan 2068.97 mg/kap/hari. Penggunaan MSG telah dinyatakan aman oleh Joint FAO/WHO Expert Committee on Food Additives (JECFA) pada tahun 1988. JECFA menyatakan MSG sebagai “</w:t>
      </w:r>
      <w:r>
        <w:rPr>
          <w:rFonts w:ascii="Arial" w:hAnsi="Arial" w:cs="Arial"/>
          <w:i/>
          <w:sz w:val="22"/>
          <w:szCs w:val="24"/>
        </w:rPr>
        <w:t xml:space="preserve">Acceptable Daily Intake </w:t>
      </w:r>
      <w:r>
        <w:rPr>
          <w:rFonts w:ascii="Arial" w:hAnsi="Arial" w:cs="Arial"/>
          <w:sz w:val="22"/>
          <w:szCs w:val="24"/>
        </w:rPr>
        <w:t>(ADI)</w:t>
      </w:r>
      <w:r>
        <w:rPr>
          <w:rFonts w:ascii="Arial" w:hAnsi="Arial" w:cs="Arial"/>
          <w:i/>
          <w:sz w:val="22"/>
          <w:szCs w:val="24"/>
        </w:rPr>
        <w:t xml:space="preserve"> not specified</w:t>
      </w:r>
      <w:r>
        <w:rPr>
          <w:rFonts w:ascii="Arial" w:hAnsi="Arial" w:cs="Arial"/>
          <w:sz w:val="22"/>
          <w:szCs w:val="24"/>
        </w:rPr>
        <w:t>" untuk asam glutamat dan garamnya (Walker and Lupin 2000). FAO/WHO mengatur regulasi penggunaan MSG pada produk pangan sebagai Good Manufacturing Practice (GMP). Badan Pengawas Obat dan Makanan Republik Indonesia (BPOM RI) melalui PerKBPOM No. 23 2013 juga mengatur penambahan MSG sebagai penambah citarasa dalam produk pangan sebagai GMP. Akan tetapi sebagian besar masyarakat menganggap bahwa penggunaan MSG memberikan efek negatif terhadap kesehatan. Umumnya, produk MSG komersial tidak mencantumkan jumlah atau dosis tertentu yang dibutuhkan untuk menghasilkan citarasa yang gurih. Permasalahan ini menyebabkan penggunaan MSG yang berlebihan dan tidak terkontrol oleh produsen.</w:t>
      </w:r>
    </w:p>
    <w:p>
      <w:pPr>
        <w:spacing w:line="360" w:lineRule="auto"/>
        <w:rPr>
          <w:rFonts w:ascii="Arial" w:hAnsi="Arial" w:cs="Arial"/>
          <w:color w:val="FF0000"/>
          <w:sz w:val="22"/>
          <w:szCs w:val="24"/>
          <w:shd w:val="clear" w:color="auto" w:fill="FFFFFF"/>
        </w:rPr>
      </w:pPr>
      <w:r>
        <w:rPr>
          <w:rFonts w:ascii="Arial" w:hAnsi="Arial" w:cs="Arial"/>
          <w:sz w:val="22"/>
          <w:szCs w:val="24"/>
        </w:rPr>
        <w:t>Kemampuan suatu senyawa untuk menghasilkan kesan/rasa tertentu pada umumnya dinyatakan dalam ambang sensori. Salah satu ambang sensori adalah ambang deteksi yang didefinisikan sebagai konsentrasi stimulus terendah yang dapat menghasilkan kesan/rasa tertentu, walau masih belum terlalu jelas. Lidah manusia memiliki mekanisme untuk mendeteksi rasa dasar dan menyampaikannya kepada sel-sel syaraf perasa</w:t>
      </w:r>
      <w:r>
        <w:rPr>
          <w:rFonts w:ascii="Arial" w:hAnsi="Arial" w:cs="Arial"/>
          <w:sz w:val="22"/>
          <w:szCs w:val="24"/>
          <w:shd w:val="clear" w:color="auto" w:fill="FFFFFF"/>
        </w:rPr>
        <w:t xml:space="preserve">. </w:t>
      </w:r>
      <w:r>
        <w:rPr>
          <w:rFonts w:ascii="Arial" w:hAnsi="Arial" w:cs="Arial"/>
          <w:sz w:val="22"/>
          <w:szCs w:val="24"/>
        </w:rPr>
        <w:t xml:space="preserve">Pada permukaan lidah terdapat </w:t>
      </w:r>
      <w:r>
        <w:rPr>
          <w:rFonts w:ascii="Arial" w:hAnsi="Arial" w:cs="Arial"/>
          <w:i/>
          <w:sz w:val="22"/>
          <w:szCs w:val="24"/>
        </w:rPr>
        <w:t>taste buds</w:t>
      </w:r>
      <w:r>
        <w:rPr>
          <w:rFonts w:ascii="Arial" w:hAnsi="Arial" w:cs="Arial"/>
          <w:sz w:val="22"/>
          <w:szCs w:val="24"/>
        </w:rPr>
        <w:t xml:space="preserve"> yang memiliki sel-sel pengecap rasa. Setiap sel pengecap rasa memiliki sel-sel yang memiliki reseptor dibagian permukaannya dengan sensitivitas yang berbeda-beda.</w:t>
      </w:r>
    </w:p>
    <w:p>
      <w:pPr>
        <w:spacing w:line="360" w:lineRule="auto"/>
        <w:ind w:firstLine="720"/>
        <w:rPr>
          <w:rFonts w:ascii="Arial" w:hAnsi="Arial" w:cs="Arial"/>
          <w:sz w:val="22"/>
          <w:szCs w:val="24"/>
        </w:rPr>
      </w:pPr>
      <w:r>
        <w:rPr>
          <w:rFonts w:ascii="Arial" w:hAnsi="Arial" w:cs="Arial"/>
          <w:sz w:val="22"/>
          <w:szCs w:val="24"/>
        </w:rPr>
        <w:t xml:space="preserve"> Nilai ambang sensori dari suatu senyawa atau komponen yang terdapat dalam produk pangan diperlukan untuk menyelesaikan masalah teknis yang umumnya </w:t>
      </w:r>
      <w:r>
        <w:rPr>
          <w:rFonts w:ascii="Arial" w:hAnsi="Arial" w:cs="Arial"/>
          <w:sz w:val="22"/>
          <w:szCs w:val="24"/>
        </w:rPr>
        <w:lastRenderedPageBreak/>
        <w:t>berhubungan dengan formulasi produk pangan (Sentil dan Bhat 2010). Nilai ambang deteksi untuk rasa dasar manis adalah 6.027 mM (sukrosa), rasa asin 1.982 mM (NaCl), dan rasa pahit 0.713 mM (kafein) (Hasanah 2014). Metode R-Index dapat dijadikan sebagai metode alternatif dalam menentukan ambang deteksi karena memberikan hasil yang hampir sama. Metode ini memiliki beberapa keunggulan dibandingkan metode 3-AFC seperti kemudahan dalam preparasi sampel, mengurangi kejenuhan panelis, dan mengurangi biaya pengujian.</w:t>
      </w:r>
    </w:p>
    <w:p>
      <w:pPr>
        <w:spacing w:line="360" w:lineRule="auto"/>
        <w:ind w:firstLine="720"/>
        <w:rPr>
          <w:rFonts w:ascii="Arial" w:hAnsi="Arial" w:cs="Arial"/>
          <w:sz w:val="22"/>
          <w:szCs w:val="24"/>
        </w:rPr>
      </w:pPr>
      <w:r>
        <w:rPr>
          <w:rFonts w:ascii="Arial" w:hAnsi="Arial" w:cs="Arial"/>
          <w:sz w:val="22"/>
          <w:szCs w:val="24"/>
        </w:rPr>
        <w:t xml:space="preserve">Dalam penelitian ini, ambang deteksi MSG ditentukan berbasis larutan garam karena dalam penggunaannya MSG biasanya bersamaan dengan garam (bukan sebagai larutan tunggal). Selain itu informasi yang diperlukan adalah konsentrasi MSG terendah yang sudah mulai disukai (dalam hal ini disebut sebagai ambang preferensi). Lanfer </w:t>
      </w:r>
      <w:r>
        <w:rPr>
          <w:rFonts w:ascii="Arial" w:hAnsi="Arial" w:cs="Arial"/>
          <w:i/>
          <w:sz w:val="22"/>
          <w:szCs w:val="24"/>
        </w:rPr>
        <w:t>et al.</w:t>
      </w:r>
      <w:r>
        <w:rPr>
          <w:rFonts w:ascii="Arial" w:hAnsi="Arial" w:cs="Arial"/>
          <w:sz w:val="22"/>
          <w:szCs w:val="24"/>
        </w:rPr>
        <w:t xml:space="preserve"> (2013) menyatakan bahwa stimulus ambang deteksi tidak relevan dengan sensasi rasa yang diterima dari produk pangan. Ambang preferensi lebih relevan dalam menilai sensasi rasa karena terdapat batasan dimana konsumen mulai menyukai suatu produk pangan pada konsentrasi tertentu. Ambang preferensi dalam penelitian ini didefinisikan sebagai konsentrasi minimum yang sudah mulai disukai. Nilai ambang preferensi diperlukan sebagai informasi mengenai konsentrasi terkecil dari MSG yang mulai disukai konsumen.</w:t>
      </w:r>
    </w:p>
    <w:p>
      <w:pPr>
        <w:spacing w:line="360" w:lineRule="auto"/>
        <w:ind w:firstLine="720"/>
        <w:rPr>
          <w:rFonts w:ascii="Arial" w:hAnsi="Arial" w:cs="Arial"/>
          <w:sz w:val="22"/>
          <w:szCs w:val="24"/>
        </w:rPr>
      </w:pPr>
      <w:r>
        <w:rPr>
          <w:rFonts w:ascii="Arial" w:hAnsi="Arial" w:cs="Arial"/>
          <w:sz w:val="22"/>
          <w:szCs w:val="24"/>
        </w:rPr>
        <w:t xml:space="preserve">Penelitian ini bertujuan untuk menentukan </w:t>
      </w:r>
      <w:bookmarkStart w:id="7" w:name="_Toc330535265"/>
      <w:bookmarkStart w:id="8" w:name="_Toc330535327"/>
      <w:bookmarkStart w:id="9" w:name="_Toc330535353"/>
      <w:bookmarkStart w:id="10" w:name="_Toc330964705"/>
      <w:bookmarkStart w:id="11" w:name="_Toc453596055"/>
      <w:bookmarkStart w:id="12" w:name="_Toc454451154"/>
      <w:r>
        <w:rPr>
          <w:rFonts w:ascii="Arial" w:hAnsi="Arial" w:cs="Arial"/>
          <w:sz w:val="22"/>
          <w:szCs w:val="24"/>
        </w:rPr>
        <w:t xml:space="preserve">menentukan nilai ambang deteksi rasa umami dari MSG dalam larutan garam serta menentukan nilai ambang preferensi rasa umami dari MSG dalam model pangan. Model pangan yang digunakan adalah sayur bening bayam pada dua konsentrasi garam yang berbeda. </w:t>
      </w:r>
    </w:p>
    <w:p>
      <w:pPr>
        <w:spacing w:after="240" w:line="360" w:lineRule="auto"/>
        <w:rPr>
          <w:rFonts w:ascii="Arial" w:hAnsi="Arial" w:cs="Arial"/>
          <w:sz w:val="22"/>
          <w:szCs w:val="24"/>
        </w:rPr>
      </w:pPr>
      <w:bookmarkStart w:id="13" w:name="_Toc330535267"/>
      <w:bookmarkStart w:id="14" w:name="_Toc330535329"/>
      <w:bookmarkStart w:id="15" w:name="_Toc330535355"/>
      <w:bookmarkStart w:id="16" w:name="_Toc330964708"/>
      <w:bookmarkStart w:id="17" w:name="_Toc453596059"/>
      <w:bookmarkStart w:id="18" w:name="_Toc454451155"/>
      <w:bookmarkEnd w:id="7"/>
      <w:bookmarkEnd w:id="8"/>
      <w:bookmarkEnd w:id="9"/>
      <w:bookmarkEnd w:id="10"/>
      <w:bookmarkEnd w:id="11"/>
      <w:bookmarkEnd w:id="12"/>
    </w:p>
    <w:p>
      <w:pPr>
        <w:pStyle w:val="Heading1"/>
        <w:spacing w:line="360" w:lineRule="auto"/>
        <w:rPr>
          <w:rFonts w:ascii="Arial" w:hAnsi="Arial" w:cs="Arial"/>
          <w:sz w:val="22"/>
          <w:szCs w:val="24"/>
        </w:rPr>
      </w:pPr>
      <w:bookmarkStart w:id="19" w:name="_Toc468430110"/>
      <w:commentRangeStart w:id="20"/>
      <w:r>
        <w:rPr>
          <w:rFonts w:ascii="Arial" w:hAnsi="Arial" w:cs="Arial"/>
          <w:sz w:val="22"/>
          <w:szCs w:val="24"/>
        </w:rPr>
        <w:t>BAHAN DAN METODE</w:t>
      </w:r>
      <w:bookmarkEnd w:id="13"/>
      <w:bookmarkEnd w:id="14"/>
      <w:bookmarkEnd w:id="15"/>
      <w:bookmarkEnd w:id="16"/>
      <w:bookmarkEnd w:id="17"/>
      <w:bookmarkEnd w:id="18"/>
      <w:bookmarkEnd w:id="19"/>
      <w:commentRangeEnd w:id="20"/>
      <w:r>
        <w:rPr>
          <w:rStyle w:val="CommentReference"/>
          <w:rFonts w:ascii="Arial" w:eastAsiaTheme="minorEastAsia" w:hAnsi="Arial" w:cs="Arial"/>
          <w:b w:val="0"/>
          <w:bCs w:val="0"/>
          <w:sz w:val="14"/>
        </w:rPr>
        <w:commentReference w:id="20"/>
      </w:r>
    </w:p>
    <w:p>
      <w:pPr>
        <w:pStyle w:val="Heading2"/>
        <w:spacing w:line="360" w:lineRule="auto"/>
        <w:rPr>
          <w:rFonts w:ascii="Arial" w:hAnsi="Arial" w:cs="Arial"/>
          <w:sz w:val="22"/>
          <w:szCs w:val="24"/>
        </w:rPr>
      </w:pPr>
      <w:bookmarkStart w:id="21" w:name="_Toc330535268"/>
      <w:bookmarkStart w:id="22" w:name="_Toc330535330"/>
      <w:bookmarkStart w:id="23" w:name="_Toc330535356"/>
      <w:bookmarkStart w:id="24" w:name="_Toc330964709"/>
      <w:bookmarkStart w:id="25" w:name="_Toc453596060"/>
      <w:bookmarkStart w:id="26" w:name="_Toc454451156"/>
      <w:bookmarkStart w:id="27" w:name="_Toc468430113"/>
      <w:commentRangeStart w:id="28"/>
      <w:r>
        <w:rPr>
          <w:rFonts w:ascii="Arial" w:hAnsi="Arial" w:cs="Arial"/>
          <w:sz w:val="22"/>
          <w:szCs w:val="24"/>
        </w:rPr>
        <w:t>Bahan</w:t>
      </w:r>
      <w:bookmarkEnd w:id="21"/>
      <w:bookmarkEnd w:id="22"/>
      <w:bookmarkEnd w:id="23"/>
      <w:bookmarkEnd w:id="24"/>
      <w:r>
        <w:rPr>
          <w:rFonts w:ascii="Arial" w:hAnsi="Arial" w:cs="Arial"/>
          <w:sz w:val="22"/>
          <w:szCs w:val="24"/>
        </w:rPr>
        <w:t xml:space="preserve"> </w:t>
      </w:r>
      <w:commentRangeEnd w:id="28"/>
      <w:r>
        <w:rPr>
          <w:rStyle w:val="CommentReference"/>
          <w:rFonts w:ascii="Arial" w:eastAsiaTheme="minorEastAsia" w:hAnsi="Arial" w:cs="Arial"/>
          <w:b w:val="0"/>
          <w:bCs w:val="0"/>
          <w:sz w:val="14"/>
        </w:rPr>
        <w:commentReference w:id="28"/>
      </w:r>
      <w:commentRangeStart w:id="29"/>
      <w:r>
        <w:rPr>
          <w:rFonts w:ascii="Arial" w:hAnsi="Arial" w:cs="Arial"/>
          <w:sz w:val="22"/>
          <w:szCs w:val="24"/>
        </w:rPr>
        <w:t>dan Alat</w:t>
      </w:r>
      <w:bookmarkEnd w:id="25"/>
      <w:bookmarkEnd w:id="26"/>
      <w:bookmarkEnd w:id="27"/>
      <w:commentRangeEnd w:id="29"/>
      <w:r>
        <w:rPr>
          <w:rStyle w:val="CommentReference"/>
          <w:rFonts w:ascii="Arial" w:eastAsiaTheme="minorEastAsia" w:hAnsi="Arial" w:cs="Arial"/>
          <w:b w:val="0"/>
          <w:bCs w:val="0"/>
          <w:sz w:val="14"/>
        </w:rPr>
        <w:commentReference w:id="29"/>
      </w:r>
    </w:p>
    <w:p>
      <w:pPr>
        <w:spacing w:line="360" w:lineRule="auto"/>
        <w:ind w:firstLine="720"/>
        <w:rPr>
          <w:rFonts w:ascii="Arial" w:hAnsi="Arial" w:cs="Arial"/>
          <w:sz w:val="22"/>
          <w:szCs w:val="24"/>
        </w:rPr>
      </w:pPr>
      <w:r>
        <w:rPr>
          <w:rFonts w:ascii="Arial" w:hAnsi="Arial" w:cs="Arial"/>
          <w:sz w:val="22"/>
          <w:szCs w:val="24"/>
          <w:lang w:val="sv-SE"/>
        </w:rPr>
        <w:t xml:space="preserve">Bahan-bahan yang digunakan </w:t>
      </w:r>
      <w:r>
        <w:rPr>
          <w:rFonts w:ascii="Arial" w:hAnsi="Arial" w:cs="Arial"/>
          <w:sz w:val="22"/>
          <w:szCs w:val="24"/>
        </w:rPr>
        <w:t>adalah air, sayur bayam,</w:t>
      </w:r>
      <w:r>
        <w:rPr>
          <w:rFonts w:ascii="Arial" w:hAnsi="Arial" w:cs="Arial"/>
          <w:sz w:val="22"/>
          <w:szCs w:val="24"/>
          <w:lang w:val="sv-SE"/>
        </w:rPr>
        <w:t xml:space="preserve"> MSG</w:t>
      </w:r>
      <w:r>
        <w:rPr>
          <w:rFonts w:ascii="Arial" w:hAnsi="Arial" w:cs="Arial"/>
          <w:sz w:val="22"/>
          <w:szCs w:val="24"/>
        </w:rPr>
        <w:t xml:space="preserve"> komersial merk Ajinomoto, garam dapur merk Refina, bawang merah dan bawang putih.</w:t>
      </w:r>
    </w:p>
    <w:p>
      <w:pPr>
        <w:spacing w:line="360" w:lineRule="auto"/>
        <w:ind w:firstLine="720"/>
        <w:rPr>
          <w:rFonts w:ascii="Arial" w:hAnsi="Arial" w:cs="Arial"/>
          <w:sz w:val="22"/>
          <w:szCs w:val="24"/>
          <w:lang w:val="sv-SE"/>
        </w:rPr>
      </w:pPr>
      <w:r>
        <w:rPr>
          <w:rFonts w:ascii="Arial" w:hAnsi="Arial" w:cs="Arial"/>
          <w:sz w:val="22"/>
          <w:szCs w:val="24"/>
          <w:lang w:val="sv-SE"/>
        </w:rPr>
        <w:t xml:space="preserve">Alat-alat yang digunakan adalah timbangan analitik, cup plastik 50 mL, gelas ukur plastik 1 L, </w:t>
      </w:r>
      <w:r>
        <w:rPr>
          <w:rFonts w:ascii="Arial" w:hAnsi="Arial" w:cs="Arial"/>
          <w:sz w:val="22"/>
          <w:szCs w:val="24"/>
        </w:rPr>
        <w:t>gelas piala 4 buah, labu takar 1 L, labu takar 500 mL, labu Erlenmeyer 1 L, corong kaca, gelas pengaduk, pipet,</w:t>
      </w:r>
      <w:r>
        <w:rPr>
          <w:rFonts w:ascii="Arial" w:hAnsi="Arial" w:cs="Arial"/>
          <w:sz w:val="22"/>
          <w:szCs w:val="24"/>
          <w:lang w:val="sv-SE"/>
        </w:rPr>
        <w:t xml:space="preserve"> sendok kecil, </w:t>
      </w:r>
      <w:r>
        <w:rPr>
          <w:rFonts w:ascii="Arial" w:hAnsi="Arial" w:cs="Arial"/>
          <w:sz w:val="22"/>
          <w:szCs w:val="24"/>
          <w:lang w:val="id-ID"/>
        </w:rPr>
        <w:t xml:space="preserve">mangkuk kecil, </w:t>
      </w:r>
      <w:r>
        <w:rPr>
          <w:rFonts w:ascii="Arial" w:hAnsi="Arial" w:cs="Arial"/>
          <w:sz w:val="22"/>
          <w:szCs w:val="24"/>
          <w:lang w:val="sv-SE"/>
        </w:rPr>
        <w:t>wadah penyajian, kertas label, kertas kuesioner, lembar pengacakan, alumunium foil, spidol, dan tisu.</w:t>
      </w:r>
    </w:p>
    <w:p>
      <w:pPr>
        <w:spacing w:line="360" w:lineRule="auto"/>
        <w:ind w:firstLine="720"/>
        <w:rPr>
          <w:rFonts w:ascii="Arial" w:hAnsi="Arial" w:cs="Arial"/>
          <w:sz w:val="22"/>
          <w:szCs w:val="24"/>
        </w:rPr>
      </w:pPr>
    </w:p>
    <w:p>
      <w:pPr>
        <w:pStyle w:val="Heading2"/>
        <w:spacing w:line="360" w:lineRule="auto"/>
        <w:rPr>
          <w:rFonts w:ascii="Arial" w:hAnsi="Arial" w:cs="Arial"/>
          <w:sz w:val="22"/>
          <w:szCs w:val="24"/>
        </w:rPr>
      </w:pPr>
      <w:commentRangeStart w:id="30"/>
      <w:r>
        <w:rPr>
          <w:rFonts w:ascii="Arial" w:hAnsi="Arial" w:cs="Arial"/>
          <w:sz w:val="22"/>
          <w:szCs w:val="24"/>
        </w:rPr>
        <w:lastRenderedPageBreak/>
        <w:t>Metode Penelitian</w:t>
      </w:r>
      <w:commentRangeEnd w:id="30"/>
      <w:r>
        <w:rPr>
          <w:rStyle w:val="CommentReference"/>
          <w:rFonts w:ascii="Arial" w:eastAsiaTheme="minorEastAsia" w:hAnsi="Arial" w:cs="Arial"/>
          <w:b w:val="0"/>
          <w:bCs w:val="0"/>
          <w:sz w:val="14"/>
        </w:rPr>
        <w:commentReference w:id="30"/>
      </w:r>
    </w:p>
    <w:p>
      <w:pPr>
        <w:spacing w:line="360" w:lineRule="auto"/>
        <w:ind w:firstLine="0"/>
        <w:rPr>
          <w:rFonts w:ascii="Arial" w:hAnsi="Arial" w:cs="Arial"/>
          <w:sz w:val="22"/>
          <w:szCs w:val="24"/>
        </w:rPr>
      </w:pPr>
      <w:r>
        <w:rPr>
          <w:rFonts w:ascii="Arial" w:hAnsi="Arial" w:cs="Arial"/>
          <w:sz w:val="22"/>
          <w:szCs w:val="24"/>
        </w:rPr>
        <w:t>Penelitian ini terdiri dari 3 tahapan penelitian yaitu (1) penentuan konsentrasi garam; (2) penetapan ambang preferensi, dan (3) penetapan ambang deteksi.</w:t>
      </w:r>
    </w:p>
    <w:p>
      <w:pPr>
        <w:spacing w:line="360" w:lineRule="auto"/>
        <w:ind w:left="1987" w:hanging="1987"/>
        <w:rPr>
          <w:rFonts w:ascii="Arial" w:hAnsi="Arial" w:cs="Arial"/>
          <w:b/>
          <w:sz w:val="22"/>
          <w:szCs w:val="24"/>
        </w:rPr>
      </w:pPr>
      <w:r>
        <w:rPr>
          <w:rFonts w:ascii="Arial" w:hAnsi="Arial" w:cs="Arial"/>
          <w:b/>
          <w:sz w:val="22"/>
          <w:szCs w:val="24"/>
        </w:rPr>
        <w:t>Penentuan Konsentrasi Garam (Metode Ranking Hedonik)</w:t>
      </w:r>
    </w:p>
    <w:p>
      <w:pPr>
        <w:spacing w:line="360" w:lineRule="auto"/>
        <w:ind w:firstLine="720"/>
        <w:rPr>
          <w:rFonts w:ascii="Arial" w:hAnsi="Arial" w:cs="Arial"/>
          <w:sz w:val="22"/>
          <w:szCs w:val="24"/>
        </w:rPr>
      </w:pPr>
      <w:r>
        <w:rPr>
          <w:rFonts w:ascii="Arial" w:hAnsi="Arial" w:cs="Arial"/>
          <w:sz w:val="22"/>
          <w:szCs w:val="24"/>
        </w:rPr>
        <w:t xml:space="preserve">Penentuan konsentrasi garam ditentukan menggunakan uji ranking hedonik pada produk sayur bening bayam.  Penyiapan sayur bayam dilakukan dengan cara merebus 1 L air hingga mendidih, kemudian ditambahkan 10 g irisan bawang merah dan 5 g irisan bawang putih. Setelah perebusan dilanjutkan sampai sekitar 1 menit, ditambahkan garam ditambahkan sesuai perlakuan dan diaduk selama sekitar 20 detik. Sayur bayam 100 g kemudian ditambahkan dan dimasak selama 1-2 menit. Perlakuan konsentrasi garam yang ditambahkan terdiri dari lima tingkatan konsentrasi yaitu 0.24 g/100 mL; 0.30 g/100 mL; 0.36 g/100 mL; 0.42 g/100 mL dan 0.48 g/100 </w:t>
      </w:r>
      <w:commentRangeStart w:id="31"/>
      <w:r>
        <w:rPr>
          <w:rFonts w:ascii="Arial" w:hAnsi="Arial" w:cs="Arial"/>
          <w:sz w:val="22"/>
          <w:szCs w:val="24"/>
        </w:rPr>
        <w:t>mL</w:t>
      </w:r>
      <w:commentRangeEnd w:id="31"/>
      <w:r>
        <w:rPr>
          <w:rStyle w:val="CommentReference"/>
          <w:rFonts w:ascii="Arial" w:hAnsi="Arial" w:cs="Arial"/>
          <w:sz w:val="14"/>
        </w:rPr>
        <w:commentReference w:id="31"/>
      </w:r>
      <w:r>
        <w:rPr>
          <w:rFonts w:ascii="Arial" w:hAnsi="Arial" w:cs="Arial"/>
          <w:sz w:val="22"/>
          <w:szCs w:val="24"/>
        </w:rPr>
        <w:t xml:space="preserve">. Sayur bayam didinginkan hingga mencapai suhu ruang sebelum disajikan kepada panelis. </w:t>
      </w:r>
      <w:r>
        <w:rPr>
          <w:rFonts w:ascii="Arial" w:hAnsi="Arial" w:cs="Arial"/>
          <w:sz w:val="22"/>
          <w:szCs w:val="24"/>
          <w:lang w:val="id-ID"/>
        </w:rPr>
        <w:t>Sebanyak</w:t>
      </w:r>
      <w:r>
        <w:rPr>
          <w:rFonts w:ascii="Arial" w:hAnsi="Arial" w:cs="Arial"/>
          <w:sz w:val="22"/>
          <w:szCs w:val="24"/>
        </w:rPr>
        <w:t xml:space="preserve"> ±</w:t>
      </w:r>
      <w:r>
        <w:rPr>
          <w:rFonts w:ascii="Arial" w:hAnsi="Arial" w:cs="Arial"/>
          <w:sz w:val="22"/>
          <w:szCs w:val="24"/>
          <w:lang w:val="id-ID"/>
        </w:rPr>
        <w:t xml:space="preserve"> </w:t>
      </w:r>
      <w:r>
        <w:rPr>
          <w:rFonts w:ascii="Arial" w:hAnsi="Arial" w:cs="Arial"/>
          <w:sz w:val="22"/>
          <w:szCs w:val="24"/>
        </w:rPr>
        <w:t>30</w:t>
      </w:r>
      <w:r>
        <w:rPr>
          <w:rFonts w:ascii="Arial" w:hAnsi="Arial" w:cs="Arial"/>
          <w:sz w:val="22"/>
          <w:szCs w:val="24"/>
          <w:lang w:val="id-ID"/>
        </w:rPr>
        <w:t xml:space="preserve"> </w:t>
      </w:r>
      <w:commentRangeStart w:id="32"/>
      <w:r>
        <w:rPr>
          <w:rFonts w:ascii="Arial" w:hAnsi="Arial" w:cs="Arial"/>
          <w:sz w:val="22"/>
          <w:szCs w:val="24"/>
          <w:lang w:val="id-ID"/>
        </w:rPr>
        <w:t xml:space="preserve">ml </w:t>
      </w:r>
      <w:commentRangeEnd w:id="32"/>
      <w:r>
        <w:rPr>
          <w:rStyle w:val="CommentReference"/>
          <w:rFonts w:ascii="Arial" w:hAnsi="Arial" w:cs="Arial"/>
          <w:sz w:val="14"/>
        </w:rPr>
        <w:commentReference w:id="32"/>
      </w:r>
      <w:r>
        <w:rPr>
          <w:rFonts w:ascii="Arial" w:hAnsi="Arial" w:cs="Arial"/>
          <w:sz w:val="22"/>
          <w:szCs w:val="24"/>
          <w:lang w:val="id-ID"/>
        </w:rPr>
        <w:t>sampel disajikan dalam cup</w:t>
      </w:r>
      <w:r>
        <w:rPr>
          <w:rFonts w:ascii="Arial" w:hAnsi="Arial" w:cs="Arial"/>
          <w:sz w:val="22"/>
          <w:szCs w:val="24"/>
        </w:rPr>
        <w:t xml:space="preserve"> saji yang telah diberi kode tiga digit angka acak.</w:t>
      </w:r>
    </w:p>
    <w:p>
      <w:pPr>
        <w:spacing w:line="360" w:lineRule="auto"/>
        <w:ind w:firstLine="720"/>
        <w:rPr>
          <w:rFonts w:ascii="Arial" w:hAnsi="Arial" w:cs="Arial"/>
          <w:sz w:val="22"/>
          <w:szCs w:val="24"/>
        </w:rPr>
      </w:pPr>
      <w:r>
        <w:rPr>
          <w:rFonts w:ascii="Arial" w:hAnsi="Arial" w:cs="Arial"/>
          <w:sz w:val="22"/>
          <w:szCs w:val="24"/>
        </w:rPr>
        <w:t xml:space="preserve">Panel yang digunakan adalah 30 panelis umum </w:t>
      </w:r>
      <w:r>
        <w:rPr>
          <w:rFonts w:ascii="Arial" w:hAnsi="Arial" w:cs="Arial"/>
          <w:sz w:val="22"/>
          <w:szCs w:val="24"/>
          <w:lang w:val="id-ID"/>
        </w:rPr>
        <w:t>mahasiswa IPB dengan</w:t>
      </w:r>
      <w:r>
        <w:rPr>
          <w:rFonts w:ascii="Arial" w:hAnsi="Arial" w:cs="Arial"/>
          <w:sz w:val="22"/>
          <w:szCs w:val="24"/>
        </w:rPr>
        <w:t xml:space="preserve"> rentang</w:t>
      </w:r>
      <w:r>
        <w:rPr>
          <w:rFonts w:ascii="Arial" w:hAnsi="Arial" w:cs="Arial"/>
          <w:sz w:val="22"/>
          <w:szCs w:val="24"/>
          <w:lang w:val="id-ID"/>
        </w:rPr>
        <w:t xml:space="preserve"> usia 18-25 tahun </w:t>
      </w:r>
      <w:r>
        <w:rPr>
          <w:rFonts w:ascii="Arial" w:hAnsi="Arial" w:cs="Arial"/>
          <w:sz w:val="22"/>
          <w:szCs w:val="24"/>
        </w:rPr>
        <w:t>yang biasa mengkonsumsi sayur bening bayam.  Panelis memulai pengujian dengan meminum sedikit air untuk menetralkan indera perasa. Pencicipan sampel dilakukan dengan mencicipi dari kiri ke kanan. Setelah mencicipi sampel, panelis diminta memberikan penilaian dengan cara membandingkan antar sampel dan mengurutkan sampel dari yang paling disukai (ranking 1) sampai ranking 5.</w:t>
      </w:r>
    </w:p>
    <w:p>
      <w:pPr>
        <w:spacing w:line="360" w:lineRule="auto"/>
        <w:rPr>
          <w:rFonts w:ascii="Arial" w:hAnsi="Arial" w:cs="Arial"/>
          <w:sz w:val="22"/>
          <w:szCs w:val="24"/>
          <w:lang w:val="id-ID"/>
        </w:rPr>
      </w:pPr>
      <w:r>
        <w:rPr>
          <w:rFonts w:ascii="Arial" w:hAnsi="Arial" w:cs="Arial"/>
          <w:sz w:val="22"/>
          <w:szCs w:val="24"/>
          <w:lang w:val="id-ID"/>
        </w:rPr>
        <w:t>Data respon panelis dimasukkan pada tabel dengan menggunakan Microsoft Excel 2013.</w:t>
      </w:r>
      <w:r>
        <w:rPr>
          <w:rFonts w:ascii="Arial" w:hAnsi="Arial" w:cs="Arial"/>
          <w:sz w:val="22"/>
          <w:szCs w:val="24"/>
        </w:rPr>
        <w:t xml:space="preserve"> </w:t>
      </w:r>
      <w:r>
        <w:rPr>
          <w:rFonts w:ascii="Arial" w:hAnsi="Arial" w:cs="Arial"/>
          <w:sz w:val="22"/>
          <w:szCs w:val="24"/>
          <w:lang w:val="id-ID"/>
        </w:rPr>
        <w:t>Pengolahan data</w:t>
      </w:r>
      <w:r>
        <w:rPr>
          <w:rFonts w:ascii="Arial" w:hAnsi="Arial" w:cs="Arial"/>
          <w:sz w:val="22"/>
          <w:szCs w:val="24"/>
        </w:rPr>
        <w:t xml:space="preserve"> uji ranking</w:t>
      </w:r>
      <w:r>
        <w:rPr>
          <w:rFonts w:ascii="Arial" w:hAnsi="Arial" w:cs="Arial"/>
          <w:sz w:val="22"/>
          <w:szCs w:val="24"/>
          <w:lang w:val="id-ID"/>
        </w:rPr>
        <w:t xml:space="preserve"> dianalisis dengan</w:t>
      </w:r>
      <w:r>
        <w:rPr>
          <w:rFonts w:ascii="Arial" w:hAnsi="Arial" w:cs="Arial"/>
          <w:sz w:val="22"/>
          <w:szCs w:val="24"/>
        </w:rPr>
        <w:t xml:space="preserve"> uji</w:t>
      </w:r>
      <w:r>
        <w:rPr>
          <w:rFonts w:ascii="Arial" w:hAnsi="Arial" w:cs="Arial"/>
          <w:sz w:val="22"/>
          <w:szCs w:val="24"/>
          <w:lang w:val="id-ID"/>
        </w:rPr>
        <w:t xml:space="preserve"> </w:t>
      </w:r>
      <w:r>
        <w:rPr>
          <w:rFonts w:ascii="Arial" w:hAnsi="Arial" w:cs="Arial"/>
          <w:sz w:val="22"/>
          <w:szCs w:val="24"/>
        </w:rPr>
        <w:t>Friedman pada taraf nyata 5%</w:t>
      </w:r>
      <w:r>
        <w:rPr>
          <w:rFonts w:ascii="Arial" w:hAnsi="Arial" w:cs="Arial"/>
          <w:sz w:val="22"/>
          <w:szCs w:val="24"/>
          <w:lang w:val="id-ID"/>
        </w:rPr>
        <w:t xml:space="preserve"> menggunakan </w:t>
      </w:r>
      <w:r>
        <w:rPr>
          <w:rFonts w:ascii="Arial" w:hAnsi="Arial" w:cs="Arial"/>
          <w:i/>
          <w:sz w:val="22"/>
          <w:szCs w:val="24"/>
          <w:lang w:val="id-ID"/>
        </w:rPr>
        <w:t>software</w:t>
      </w:r>
      <w:r>
        <w:rPr>
          <w:rFonts w:ascii="Arial" w:hAnsi="Arial" w:cs="Arial"/>
          <w:sz w:val="22"/>
          <w:szCs w:val="24"/>
          <w:lang w:val="id-ID"/>
        </w:rPr>
        <w:t xml:space="preserve"> SPSS v.20. Jika terdapat perbedaan signifikan, </w:t>
      </w:r>
      <w:r>
        <w:rPr>
          <w:rFonts w:ascii="Arial" w:hAnsi="Arial" w:cs="Arial"/>
          <w:sz w:val="22"/>
          <w:szCs w:val="24"/>
        </w:rPr>
        <w:t xml:space="preserve">maka </w:t>
      </w:r>
      <w:r>
        <w:rPr>
          <w:rFonts w:ascii="Arial" w:hAnsi="Arial" w:cs="Arial"/>
          <w:sz w:val="22"/>
          <w:szCs w:val="24"/>
          <w:lang w:val="id-ID"/>
        </w:rPr>
        <w:t>di</w:t>
      </w:r>
      <w:r>
        <w:rPr>
          <w:rFonts w:ascii="Arial" w:hAnsi="Arial" w:cs="Arial"/>
          <w:sz w:val="22"/>
          <w:szCs w:val="24"/>
        </w:rPr>
        <w:t>lanjutkan dengan uji</w:t>
      </w:r>
      <w:r>
        <w:rPr>
          <w:rFonts w:ascii="Arial" w:hAnsi="Arial" w:cs="Arial"/>
          <w:sz w:val="22"/>
          <w:szCs w:val="24"/>
          <w:lang w:val="id-ID"/>
        </w:rPr>
        <w:t xml:space="preserve"> </w:t>
      </w:r>
      <w:r>
        <w:rPr>
          <w:rFonts w:ascii="Arial" w:hAnsi="Arial" w:cs="Arial"/>
          <w:sz w:val="22"/>
          <w:szCs w:val="24"/>
        </w:rPr>
        <w:t>LSD Rank</w:t>
      </w:r>
      <w:r>
        <w:rPr>
          <w:rFonts w:ascii="Arial" w:hAnsi="Arial" w:cs="Arial"/>
          <w:sz w:val="22"/>
          <w:szCs w:val="24"/>
          <w:lang w:val="id-ID"/>
        </w:rPr>
        <w:t>.</w:t>
      </w:r>
    </w:p>
    <w:p>
      <w:pPr>
        <w:spacing w:line="360" w:lineRule="auto"/>
        <w:rPr>
          <w:rFonts w:ascii="Arial" w:hAnsi="Arial" w:cs="Arial"/>
          <w:sz w:val="22"/>
          <w:szCs w:val="24"/>
        </w:rPr>
      </w:pPr>
    </w:p>
    <w:p>
      <w:pPr>
        <w:spacing w:after="240" w:line="360" w:lineRule="auto"/>
        <w:ind w:left="1710" w:hanging="1710"/>
        <w:rPr>
          <w:rFonts w:ascii="Arial" w:hAnsi="Arial" w:cs="Arial"/>
          <w:b/>
          <w:sz w:val="22"/>
          <w:szCs w:val="24"/>
        </w:rPr>
      </w:pPr>
      <w:r>
        <w:rPr>
          <w:rFonts w:ascii="Arial" w:hAnsi="Arial" w:cs="Arial"/>
          <w:b/>
          <w:sz w:val="22"/>
          <w:szCs w:val="24"/>
        </w:rPr>
        <w:t>Penentuan Ambang Preferensi Rasa Umami dari MSG (Metode Rating Hedonik)</w:t>
      </w:r>
    </w:p>
    <w:p>
      <w:pPr>
        <w:spacing w:line="360" w:lineRule="auto"/>
        <w:ind w:firstLine="720"/>
        <w:rPr>
          <w:rFonts w:ascii="Arial" w:hAnsi="Arial" w:cs="Arial"/>
          <w:sz w:val="22"/>
          <w:szCs w:val="24"/>
        </w:rPr>
      </w:pPr>
      <w:r>
        <w:rPr>
          <w:rFonts w:ascii="Arial" w:hAnsi="Arial" w:cs="Arial"/>
          <w:sz w:val="22"/>
          <w:szCs w:val="24"/>
          <w:lang w:val="id-ID"/>
        </w:rPr>
        <w:t>Pengujian preferensi dilakukan dengan</w:t>
      </w:r>
      <w:r>
        <w:rPr>
          <w:rFonts w:ascii="Arial" w:hAnsi="Arial" w:cs="Arial"/>
          <w:sz w:val="22"/>
          <w:szCs w:val="24"/>
        </w:rPr>
        <w:t xml:space="preserve"> menggunakan</w:t>
      </w:r>
      <w:r>
        <w:rPr>
          <w:rFonts w:ascii="Arial" w:hAnsi="Arial" w:cs="Arial"/>
          <w:sz w:val="22"/>
          <w:szCs w:val="24"/>
          <w:lang w:val="id-ID"/>
        </w:rPr>
        <w:t xml:space="preserve"> </w:t>
      </w:r>
      <w:r>
        <w:rPr>
          <w:rFonts w:ascii="Arial" w:hAnsi="Arial" w:cs="Arial"/>
          <w:sz w:val="22"/>
          <w:szCs w:val="24"/>
        </w:rPr>
        <w:t>sayur bayam bening yang disiapkan menggunakan prosedur yang sama dengan tahap sebelumnya. Jumlah garam yang digunakan adalah dua konsentrasi garam yang terpilih dari tahapan sebelumnya. Variasi k</w:t>
      </w:r>
      <w:r>
        <w:rPr>
          <w:rFonts w:ascii="Arial" w:hAnsi="Arial" w:cs="Arial"/>
          <w:sz w:val="22"/>
          <w:szCs w:val="24"/>
          <w:lang w:val="id-ID"/>
        </w:rPr>
        <w:t>onsentrasi MSG</w:t>
      </w:r>
      <w:r>
        <w:rPr>
          <w:rFonts w:ascii="Arial" w:hAnsi="Arial" w:cs="Arial"/>
          <w:sz w:val="22"/>
          <w:szCs w:val="24"/>
        </w:rPr>
        <w:t xml:space="preserve"> yang digunakan adalah yaitu 0.01 </w:t>
      </w:r>
      <w:commentRangeStart w:id="33"/>
      <w:r>
        <w:rPr>
          <w:rFonts w:ascii="Arial" w:hAnsi="Arial" w:cs="Arial"/>
          <w:sz w:val="22"/>
          <w:szCs w:val="24"/>
        </w:rPr>
        <w:t>g/100 mL</w:t>
      </w:r>
      <w:commentRangeEnd w:id="33"/>
      <w:r>
        <w:rPr>
          <w:rStyle w:val="CommentReference"/>
        </w:rPr>
        <w:commentReference w:id="33"/>
      </w:r>
      <w:r>
        <w:rPr>
          <w:rFonts w:ascii="Arial" w:hAnsi="Arial" w:cs="Arial"/>
          <w:sz w:val="22"/>
          <w:szCs w:val="24"/>
        </w:rPr>
        <w:t xml:space="preserve">, 0.02 </w:t>
      </w:r>
      <w:commentRangeStart w:id="34"/>
      <w:r>
        <w:rPr>
          <w:rFonts w:ascii="Arial" w:hAnsi="Arial" w:cs="Arial"/>
          <w:sz w:val="22"/>
          <w:szCs w:val="24"/>
        </w:rPr>
        <w:t>g/100 mL</w:t>
      </w:r>
      <w:commentRangeEnd w:id="34"/>
      <w:r>
        <w:rPr>
          <w:rStyle w:val="CommentReference"/>
        </w:rPr>
        <w:commentReference w:id="34"/>
      </w:r>
      <w:r>
        <w:rPr>
          <w:rFonts w:ascii="Arial" w:hAnsi="Arial" w:cs="Arial"/>
          <w:sz w:val="22"/>
          <w:szCs w:val="24"/>
        </w:rPr>
        <w:t xml:space="preserve">, 0.04 </w:t>
      </w:r>
      <w:commentRangeStart w:id="35"/>
      <w:r>
        <w:rPr>
          <w:rFonts w:ascii="Arial" w:hAnsi="Arial" w:cs="Arial"/>
          <w:sz w:val="22"/>
          <w:szCs w:val="24"/>
        </w:rPr>
        <w:t>g/100 mL</w:t>
      </w:r>
      <w:commentRangeEnd w:id="35"/>
      <w:r>
        <w:rPr>
          <w:rStyle w:val="CommentReference"/>
        </w:rPr>
        <w:commentReference w:id="35"/>
      </w:r>
      <w:r>
        <w:rPr>
          <w:rFonts w:ascii="Arial" w:hAnsi="Arial" w:cs="Arial"/>
          <w:sz w:val="22"/>
          <w:szCs w:val="24"/>
        </w:rPr>
        <w:t xml:space="preserve">, 0.08 </w:t>
      </w:r>
      <w:commentRangeStart w:id="36"/>
      <w:r>
        <w:rPr>
          <w:rFonts w:ascii="Arial" w:hAnsi="Arial" w:cs="Arial"/>
          <w:sz w:val="22"/>
          <w:szCs w:val="24"/>
        </w:rPr>
        <w:t>g/100 mL</w:t>
      </w:r>
      <w:commentRangeEnd w:id="36"/>
      <w:r>
        <w:rPr>
          <w:rStyle w:val="CommentReference"/>
        </w:rPr>
        <w:commentReference w:id="36"/>
      </w:r>
      <w:r>
        <w:rPr>
          <w:rFonts w:ascii="Arial" w:hAnsi="Arial" w:cs="Arial"/>
          <w:sz w:val="22"/>
          <w:szCs w:val="24"/>
        </w:rPr>
        <w:t xml:space="preserve">, 0.16 </w:t>
      </w:r>
      <w:commentRangeStart w:id="37"/>
      <w:r>
        <w:rPr>
          <w:rFonts w:ascii="Arial" w:hAnsi="Arial" w:cs="Arial"/>
          <w:sz w:val="22"/>
          <w:szCs w:val="24"/>
        </w:rPr>
        <w:t xml:space="preserve">g/100 mL </w:t>
      </w:r>
      <w:commentRangeEnd w:id="37"/>
      <w:r>
        <w:rPr>
          <w:rStyle w:val="CommentReference"/>
        </w:rPr>
        <w:commentReference w:id="37"/>
      </w:r>
      <w:r>
        <w:rPr>
          <w:rFonts w:ascii="Arial" w:hAnsi="Arial" w:cs="Arial"/>
          <w:sz w:val="22"/>
          <w:szCs w:val="24"/>
        </w:rPr>
        <w:t>dan 0.32 g/100 mL</w:t>
      </w:r>
      <w:r>
        <w:rPr>
          <w:rFonts w:ascii="Arial" w:hAnsi="Arial" w:cs="Arial"/>
          <w:sz w:val="22"/>
          <w:szCs w:val="24"/>
          <w:lang w:val="id-ID"/>
        </w:rPr>
        <w:t xml:space="preserve"> </w:t>
      </w:r>
      <w:r>
        <w:rPr>
          <w:rFonts w:ascii="Arial" w:hAnsi="Arial" w:cs="Arial"/>
          <w:sz w:val="22"/>
          <w:szCs w:val="24"/>
        </w:rPr>
        <w:t xml:space="preserve">dalam pelarut air. </w:t>
      </w:r>
    </w:p>
    <w:p>
      <w:pPr>
        <w:spacing w:line="360" w:lineRule="auto"/>
        <w:rPr>
          <w:rFonts w:ascii="Arial" w:hAnsi="Arial" w:cs="Arial"/>
          <w:sz w:val="22"/>
          <w:szCs w:val="24"/>
        </w:rPr>
      </w:pPr>
      <w:r>
        <w:rPr>
          <w:rFonts w:ascii="Arial" w:hAnsi="Arial" w:cs="Arial"/>
          <w:sz w:val="22"/>
          <w:szCs w:val="24"/>
          <w:lang w:val="id-ID"/>
        </w:rPr>
        <w:lastRenderedPageBreak/>
        <w:t xml:space="preserve">Paneli </w:t>
      </w:r>
      <w:r>
        <w:rPr>
          <w:rFonts w:ascii="Arial" w:hAnsi="Arial" w:cs="Arial"/>
          <w:sz w:val="22"/>
          <w:szCs w:val="24"/>
        </w:rPr>
        <w:t>yang digunakan 70</w:t>
      </w:r>
      <w:r>
        <w:rPr>
          <w:rFonts w:ascii="Arial" w:hAnsi="Arial" w:cs="Arial"/>
          <w:sz w:val="22"/>
          <w:szCs w:val="24"/>
          <w:lang w:val="id-ID"/>
        </w:rPr>
        <w:t xml:space="preserve"> orang </w:t>
      </w:r>
      <w:r>
        <w:rPr>
          <w:rFonts w:ascii="Arial" w:hAnsi="Arial" w:cs="Arial"/>
          <w:sz w:val="22"/>
          <w:szCs w:val="24"/>
        </w:rPr>
        <w:t xml:space="preserve">mahasiswa IPB dengan rentang usia </w:t>
      </w:r>
      <w:r>
        <w:rPr>
          <w:rFonts w:ascii="Arial" w:hAnsi="Arial" w:cs="Arial"/>
          <w:sz w:val="22"/>
          <w:szCs w:val="24"/>
          <w:lang w:val="id-ID"/>
        </w:rPr>
        <w:t xml:space="preserve">18-25 tahun </w:t>
      </w:r>
      <w:r>
        <w:rPr>
          <w:rFonts w:ascii="Arial" w:hAnsi="Arial" w:cs="Arial"/>
          <w:sz w:val="22"/>
          <w:szCs w:val="24"/>
        </w:rPr>
        <w:t xml:space="preserve">yang sehari-hari biasa mengkonsumsi sayur bening bayam. Kriteria lain yang digunakan adalah panelis </w:t>
      </w:r>
      <w:r>
        <w:rPr>
          <w:rFonts w:ascii="Arial" w:hAnsi="Arial" w:cs="Arial"/>
          <w:sz w:val="22"/>
          <w:szCs w:val="24"/>
          <w:lang w:val="id-ID"/>
        </w:rPr>
        <w:t>tidak menolak MSG</w:t>
      </w:r>
      <w:r>
        <w:rPr>
          <w:rFonts w:ascii="Arial" w:hAnsi="Arial" w:cs="Arial"/>
          <w:sz w:val="22"/>
          <w:szCs w:val="24"/>
        </w:rPr>
        <w:t xml:space="preserve"> dalam konsumsi makanan sehari-hari</w:t>
      </w:r>
      <w:r>
        <w:rPr>
          <w:rFonts w:ascii="Arial" w:hAnsi="Arial" w:cs="Arial"/>
          <w:sz w:val="22"/>
          <w:szCs w:val="24"/>
          <w:lang w:val="id-ID"/>
        </w:rPr>
        <w:t>.</w:t>
      </w:r>
    </w:p>
    <w:p>
      <w:pPr>
        <w:spacing w:line="360" w:lineRule="auto"/>
        <w:ind w:firstLine="720"/>
        <w:rPr>
          <w:rFonts w:ascii="Arial" w:hAnsi="Arial" w:cs="Arial"/>
          <w:b/>
          <w:sz w:val="22"/>
          <w:szCs w:val="24"/>
        </w:rPr>
      </w:pPr>
      <w:r>
        <w:rPr>
          <w:rFonts w:ascii="Arial" w:hAnsi="Arial" w:cs="Arial"/>
          <w:sz w:val="22"/>
          <w:szCs w:val="24"/>
          <w:lang w:val="id-ID"/>
        </w:rPr>
        <w:t>Sebanyak</w:t>
      </w:r>
      <w:r>
        <w:rPr>
          <w:rFonts w:ascii="Arial" w:hAnsi="Arial" w:cs="Arial"/>
          <w:sz w:val="22"/>
          <w:szCs w:val="24"/>
        </w:rPr>
        <w:t xml:space="preserve"> ±</w:t>
      </w:r>
      <w:r>
        <w:rPr>
          <w:rFonts w:ascii="Arial" w:hAnsi="Arial" w:cs="Arial"/>
          <w:sz w:val="22"/>
          <w:szCs w:val="24"/>
          <w:lang w:val="id-ID"/>
        </w:rPr>
        <w:t xml:space="preserve"> </w:t>
      </w:r>
      <w:r>
        <w:rPr>
          <w:rFonts w:ascii="Arial" w:hAnsi="Arial" w:cs="Arial"/>
          <w:sz w:val="22"/>
          <w:szCs w:val="24"/>
        </w:rPr>
        <w:t>30</w:t>
      </w:r>
      <w:r>
        <w:rPr>
          <w:rFonts w:ascii="Arial" w:hAnsi="Arial" w:cs="Arial"/>
          <w:sz w:val="22"/>
          <w:szCs w:val="24"/>
          <w:lang w:val="id-ID"/>
        </w:rPr>
        <w:t xml:space="preserve"> ml sampel disajikan dala</w:t>
      </w:r>
      <w:r>
        <w:rPr>
          <w:rFonts w:ascii="Arial" w:hAnsi="Arial" w:cs="Arial"/>
          <w:sz w:val="22"/>
          <w:szCs w:val="24"/>
        </w:rPr>
        <w:t>m cup.</w:t>
      </w:r>
      <w:r>
        <w:rPr>
          <w:rFonts w:ascii="Arial" w:hAnsi="Arial" w:cs="Arial"/>
          <w:sz w:val="22"/>
          <w:szCs w:val="24"/>
          <w:lang w:val="id-ID"/>
        </w:rPr>
        <w:t xml:space="preserve"> </w:t>
      </w:r>
      <w:r>
        <w:rPr>
          <w:rFonts w:ascii="Arial" w:hAnsi="Arial" w:cs="Arial"/>
          <w:sz w:val="22"/>
          <w:szCs w:val="24"/>
        </w:rPr>
        <w:t xml:space="preserve">Sampel </w:t>
      </w:r>
      <w:r>
        <w:rPr>
          <w:rFonts w:ascii="Arial" w:hAnsi="Arial" w:cs="Arial"/>
          <w:sz w:val="22"/>
          <w:szCs w:val="24"/>
          <w:lang w:val="id-ID"/>
        </w:rPr>
        <w:t>disajikan</w:t>
      </w:r>
      <w:r>
        <w:rPr>
          <w:rFonts w:ascii="Arial" w:hAnsi="Arial" w:cs="Arial"/>
          <w:sz w:val="22"/>
          <w:szCs w:val="24"/>
        </w:rPr>
        <w:t xml:space="preserve"> secara</w:t>
      </w:r>
      <w:r>
        <w:rPr>
          <w:rFonts w:ascii="Arial" w:hAnsi="Arial" w:cs="Arial"/>
          <w:sz w:val="22"/>
          <w:szCs w:val="24"/>
          <w:lang w:val="id-ID"/>
        </w:rPr>
        <w:t xml:space="preserve"> bersamaan pada panelis.</w:t>
      </w:r>
      <w:r>
        <w:rPr>
          <w:rFonts w:ascii="Arial" w:hAnsi="Arial" w:cs="Arial"/>
          <w:color w:val="FF0000"/>
          <w:sz w:val="22"/>
          <w:szCs w:val="24"/>
          <w:lang w:val="id-ID"/>
        </w:rPr>
        <w:t xml:space="preserve"> </w:t>
      </w:r>
      <w:r>
        <w:rPr>
          <w:rFonts w:ascii="Arial" w:hAnsi="Arial" w:cs="Arial"/>
          <w:sz w:val="22"/>
          <w:szCs w:val="24"/>
        </w:rPr>
        <w:t xml:space="preserve">Panelis memulai pengujian dengan meminum sedikit air untuk menetralkan indera perasa. Pencicipan sampel dilakukan dengan mencicipi dari kiri ke kanan. Setelah mencicipi sampel pertama, panelis diminta memberikan penilaian seberapa suka pada intensitas rasa tertentu dalam sampel tersebut. </w:t>
      </w:r>
      <w:r>
        <w:rPr>
          <w:rFonts w:ascii="Arial" w:hAnsi="Arial" w:cs="Arial"/>
          <w:sz w:val="22"/>
          <w:szCs w:val="24"/>
          <w:lang w:val="sv-SE"/>
        </w:rPr>
        <w:t>Sebelum mencoba sampel baru, panelis melakukan penetralan dengan meminum air.</w:t>
      </w:r>
      <w:r>
        <w:rPr>
          <w:rFonts w:ascii="Arial" w:hAnsi="Arial" w:cs="Arial"/>
          <w:sz w:val="22"/>
          <w:szCs w:val="24"/>
        </w:rPr>
        <w:t xml:space="preserve"> Penilaian dilakukan dengan cara memberikan skor kesukaan pada lembar uji yang memiliki </w:t>
      </w:r>
      <w:r>
        <w:rPr>
          <w:rFonts w:ascii="Arial" w:hAnsi="Arial" w:cs="Arial"/>
          <w:sz w:val="22"/>
          <w:szCs w:val="24"/>
          <w:lang w:val="id-ID"/>
        </w:rPr>
        <w:t>skor penilaian 1-</w:t>
      </w:r>
      <w:r>
        <w:rPr>
          <w:rFonts w:ascii="Arial" w:hAnsi="Arial" w:cs="Arial"/>
          <w:sz w:val="22"/>
          <w:szCs w:val="24"/>
        </w:rPr>
        <w:t>7 (1=sangat tidak suka, 2=tidak suka, 3=agak tidak suka, 4=netral, 5=agak suka, 6=suka, 7=sangat suka).</w:t>
      </w:r>
    </w:p>
    <w:p>
      <w:pPr>
        <w:spacing w:line="360" w:lineRule="auto"/>
        <w:rPr>
          <w:rFonts w:ascii="Arial" w:hAnsi="Arial" w:cs="Arial"/>
          <w:sz w:val="22"/>
          <w:szCs w:val="24"/>
        </w:rPr>
      </w:pPr>
      <w:r>
        <w:rPr>
          <w:rFonts w:ascii="Arial" w:hAnsi="Arial" w:cs="Arial"/>
          <w:sz w:val="22"/>
          <w:szCs w:val="24"/>
        </w:rPr>
        <w:t>Penentuan ambang preferensi dilakukan menggunakan pendekatan kurva skor hedonik (plot hubungan antara konsentrasi MSG dengan skor hedonic) untuk masing-masing konsetrasi garam. Selain itu analisis juga dilakukan menggunakan pendekatan psikofifik yaitu model Steven (Power law) dan Fechner (logaritmik) (Lawless 2010). Persamaan Steven’s Power Law  menurut adalah sebagai berikut:</w:t>
      </w:r>
    </w:p>
    <w:p>
      <w:pPr>
        <w:pStyle w:val="Paragraf"/>
        <w:spacing w:line="360" w:lineRule="auto"/>
        <w:ind w:firstLine="0"/>
        <w:jc w:val="center"/>
        <w:rPr>
          <w:rFonts w:ascii="Arial" w:hAnsi="Arial"/>
          <w:sz w:val="22"/>
          <w:szCs w:val="24"/>
          <w:vertAlign w:val="superscript"/>
          <w:lang w:val="en-US"/>
        </w:rPr>
      </w:pPr>
      <w:r>
        <w:rPr>
          <w:rFonts w:ascii="Arial" w:hAnsi="Arial"/>
          <w:sz w:val="22"/>
          <w:szCs w:val="24"/>
          <w:lang w:val="en-US"/>
        </w:rPr>
        <w:t>R = k C</w:t>
      </w:r>
      <w:r>
        <w:rPr>
          <w:rFonts w:ascii="Arial" w:hAnsi="Arial"/>
          <w:sz w:val="22"/>
          <w:szCs w:val="24"/>
          <w:vertAlign w:val="superscript"/>
          <w:lang w:val="en-US"/>
        </w:rPr>
        <w:t>n</w:t>
      </w:r>
    </w:p>
    <w:p>
      <w:pPr>
        <w:pStyle w:val="Paragraf"/>
        <w:spacing w:line="360" w:lineRule="auto"/>
        <w:ind w:firstLine="0"/>
        <w:rPr>
          <w:rFonts w:ascii="Arial" w:hAnsi="Arial"/>
          <w:sz w:val="22"/>
          <w:szCs w:val="24"/>
          <w:lang w:val="en-US"/>
        </w:rPr>
      </w:pPr>
      <w:r>
        <w:rPr>
          <w:rFonts w:ascii="Arial" w:hAnsi="Arial"/>
          <w:sz w:val="22"/>
          <w:szCs w:val="24"/>
          <w:lang w:val="en-US"/>
        </w:rPr>
        <w:t>Persamaan tersebut  diubah ke dalam persamaan logaritma sebagai berikut :</w:t>
      </w:r>
    </w:p>
    <w:p>
      <w:pPr>
        <w:pStyle w:val="Paragraf"/>
        <w:spacing w:line="360" w:lineRule="auto"/>
        <w:ind w:firstLine="0"/>
        <w:jc w:val="center"/>
        <w:rPr>
          <w:rFonts w:ascii="Arial" w:hAnsi="Arial"/>
          <w:sz w:val="22"/>
          <w:szCs w:val="24"/>
          <w:lang w:val="en-US"/>
        </w:rPr>
      </w:pPr>
      <w:r>
        <w:rPr>
          <w:rFonts w:ascii="Arial" w:hAnsi="Arial"/>
          <w:sz w:val="22"/>
          <w:szCs w:val="24"/>
          <w:lang w:val="en-US"/>
        </w:rPr>
        <w:t>Log R = n log C + log k</w:t>
      </w:r>
    </w:p>
    <w:p>
      <w:pPr>
        <w:pStyle w:val="Paragraf"/>
        <w:spacing w:line="360" w:lineRule="auto"/>
        <w:ind w:firstLine="0"/>
        <w:rPr>
          <w:rFonts w:ascii="Arial" w:hAnsi="Arial"/>
          <w:sz w:val="22"/>
          <w:szCs w:val="24"/>
          <w:lang w:val="en-US"/>
        </w:rPr>
      </w:pPr>
      <w:r>
        <w:rPr>
          <w:rFonts w:ascii="Arial" w:hAnsi="Arial"/>
          <w:sz w:val="22"/>
          <w:szCs w:val="24"/>
          <w:lang w:val="en-US"/>
        </w:rPr>
        <w:t>Sedangkan persamaan Fechner adalah sebagai berikut:</w:t>
      </w:r>
    </w:p>
    <w:p>
      <w:pPr>
        <w:spacing w:line="360" w:lineRule="auto"/>
        <w:ind w:firstLine="0"/>
        <w:jc w:val="center"/>
        <w:rPr>
          <w:rFonts w:ascii="Arial" w:hAnsi="Arial" w:cs="Arial"/>
          <w:sz w:val="22"/>
          <w:szCs w:val="24"/>
        </w:rPr>
      </w:pPr>
      <w:r>
        <w:rPr>
          <w:rFonts w:ascii="Arial" w:hAnsi="Arial" w:cs="Arial"/>
          <w:sz w:val="22"/>
          <w:szCs w:val="24"/>
        </w:rPr>
        <w:t>R = k log C</w:t>
      </w:r>
    </w:p>
    <w:p>
      <w:pPr>
        <w:spacing w:line="360" w:lineRule="auto"/>
        <w:ind w:firstLine="0"/>
        <w:rPr>
          <w:rFonts w:ascii="Arial" w:hAnsi="Arial" w:cs="Arial"/>
          <w:sz w:val="22"/>
          <w:szCs w:val="24"/>
        </w:rPr>
      </w:pPr>
      <w:r>
        <w:rPr>
          <w:rFonts w:ascii="Arial" w:hAnsi="Arial" w:cs="Arial"/>
          <w:sz w:val="22"/>
          <w:szCs w:val="24"/>
        </w:rPr>
        <w:t xml:space="preserve">Nilai R merupakan persepsi yang diberikan oleh panelis berupa skor henonik; C adalah konsentrasi MSG; k dan n merupakan konstanta. </w:t>
      </w:r>
    </w:p>
    <w:p>
      <w:pPr>
        <w:spacing w:line="360" w:lineRule="auto"/>
        <w:ind w:firstLine="630"/>
        <w:rPr>
          <w:rFonts w:ascii="Arial" w:hAnsi="Arial" w:cs="Arial"/>
          <w:sz w:val="22"/>
          <w:szCs w:val="24"/>
        </w:rPr>
      </w:pPr>
      <w:r>
        <w:rPr>
          <w:rFonts w:ascii="Arial" w:hAnsi="Arial" w:cs="Arial"/>
          <w:sz w:val="22"/>
          <w:szCs w:val="24"/>
        </w:rPr>
        <w:t>Ambang preferensi didefinisikan adalah konsentrasi pada saat nilai respon ( R ) mencapai nilai 5 (agak suka), ditetapkan menggunakan metode kurva preferensi, persamaan Fechner dan Steven.</w:t>
      </w:r>
    </w:p>
    <w:p>
      <w:pPr>
        <w:spacing w:line="360" w:lineRule="auto"/>
        <w:ind w:left="1714" w:hanging="1714"/>
        <w:rPr>
          <w:rFonts w:ascii="Arial" w:hAnsi="Arial" w:cs="Arial"/>
          <w:b/>
          <w:sz w:val="22"/>
          <w:szCs w:val="24"/>
        </w:rPr>
      </w:pPr>
      <w:r>
        <w:rPr>
          <w:rFonts w:ascii="Arial" w:hAnsi="Arial" w:cs="Arial"/>
          <w:b/>
          <w:sz w:val="22"/>
          <w:szCs w:val="24"/>
        </w:rPr>
        <w:t>Penentuan Ambang Deteksi Rasa Umami dalam larutan garam (Metode R-index)</w:t>
      </w:r>
    </w:p>
    <w:p>
      <w:pPr>
        <w:spacing w:line="360" w:lineRule="auto"/>
        <w:ind w:firstLine="720"/>
        <w:rPr>
          <w:rFonts w:ascii="Arial" w:hAnsi="Arial" w:cs="Arial"/>
          <w:sz w:val="22"/>
          <w:szCs w:val="24"/>
        </w:rPr>
      </w:pPr>
      <w:r>
        <w:rPr>
          <w:rFonts w:ascii="Arial" w:hAnsi="Arial" w:cs="Arial"/>
          <w:sz w:val="22"/>
          <w:szCs w:val="24"/>
        </w:rPr>
        <w:t xml:space="preserve">Untuk pengujian ambang deteksi rasa umami dilakukan pada larutan garam dengan konsentrasi yang sama dengan tahap preferensi rasa umami yang ditambahkan dengan enam variasi konsentrasi MSG. </w:t>
      </w:r>
      <w:r>
        <w:rPr>
          <w:rFonts w:ascii="Arial" w:hAnsi="Arial" w:cs="Arial"/>
          <w:sz w:val="22"/>
          <w:szCs w:val="24"/>
          <w:lang w:val="id-ID"/>
        </w:rPr>
        <w:t xml:space="preserve">Panelis </w:t>
      </w:r>
      <w:r>
        <w:rPr>
          <w:rFonts w:ascii="Arial" w:hAnsi="Arial" w:cs="Arial"/>
          <w:sz w:val="22"/>
          <w:szCs w:val="24"/>
        </w:rPr>
        <w:t>yang digunakan</w:t>
      </w:r>
      <w:r>
        <w:rPr>
          <w:rFonts w:ascii="Arial" w:hAnsi="Arial" w:cs="Arial"/>
          <w:sz w:val="22"/>
          <w:szCs w:val="24"/>
          <w:lang w:val="id-ID"/>
        </w:rPr>
        <w:t xml:space="preserve"> </w:t>
      </w:r>
      <w:r>
        <w:rPr>
          <w:rFonts w:ascii="Arial" w:hAnsi="Arial" w:cs="Arial"/>
          <w:sz w:val="22"/>
          <w:szCs w:val="24"/>
        </w:rPr>
        <w:t xml:space="preserve">untuk pengujian ambang deteksi </w:t>
      </w:r>
      <w:r>
        <w:rPr>
          <w:rFonts w:ascii="Arial" w:hAnsi="Arial" w:cs="Arial"/>
          <w:sz w:val="22"/>
          <w:szCs w:val="24"/>
          <w:lang w:val="id-ID"/>
        </w:rPr>
        <w:t xml:space="preserve">berjumlah </w:t>
      </w:r>
      <w:r>
        <w:rPr>
          <w:rFonts w:ascii="Arial" w:hAnsi="Arial" w:cs="Arial"/>
          <w:sz w:val="22"/>
          <w:szCs w:val="24"/>
        </w:rPr>
        <w:t>30</w:t>
      </w:r>
      <w:r>
        <w:rPr>
          <w:rFonts w:ascii="Arial" w:hAnsi="Arial" w:cs="Arial"/>
          <w:sz w:val="22"/>
          <w:szCs w:val="24"/>
          <w:lang w:val="id-ID"/>
        </w:rPr>
        <w:t xml:space="preserve"> orang mahasiswa </w:t>
      </w:r>
      <w:r>
        <w:rPr>
          <w:rFonts w:ascii="Arial" w:hAnsi="Arial" w:cs="Arial"/>
          <w:sz w:val="22"/>
          <w:szCs w:val="24"/>
        </w:rPr>
        <w:t xml:space="preserve">Departemen Ilmu dan Teknologi Pangan </w:t>
      </w:r>
      <w:r>
        <w:rPr>
          <w:rFonts w:ascii="Arial" w:hAnsi="Arial" w:cs="Arial"/>
          <w:sz w:val="22"/>
          <w:szCs w:val="24"/>
          <w:lang w:val="id-ID"/>
        </w:rPr>
        <w:t>IPB</w:t>
      </w:r>
      <w:r>
        <w:rPr>
          <w:rFonts w:ascii="Arial" w:hAnsi="Arial" w:cs="Arial"/>
          <w:sz w:val="22"/>
          <w:szCs w:val="24"/>
        </w:rPr>
        <w:t xml:space="preserve"> yang sudah terbiasa dengan metode R-index, dan </w:t>
      </w:r>
      <w:r>
        <w:rPr>
          <w:rFonts w:ascii="Arial" w:hAnsi="Arial" w:cs="Arial"/>
          <w:sz w:val="22"/>
          <w:szCs w:val="24"/>
          <w:lang w:val="id-ID"/>
        </w:rPr>
        <w:t>tidak menolak MSG</w:t>
      </w:r>
      <w:r>
        <w:rPr>
          <w:rFonts w:ascii="Arial" w:hAnsi="Arial" w:cs="Arial"/>
          <w:sz w:val="22"/>
          <w:szCs w:val="24"/>
        </w:rPr>
        <w:t xml:space="preserve"> dalam konsumsi makanan sehari-hari</w:t>
      </w:r>
      <w:r>
        <w:rPr>
          <w:rFonts w:ascii="Arial" w:hAnsi="Arial" w:cs="Arial"/>
          <w:sz w:val="22"/>
          <w:szCs w:val="24"/>
          <w:lang w:val="id-ID"/>
        </w:rPr>
        <w:t>.</w:t>
      </w:r>
      <w:r>
        <w:rPr>
          <w:rFonts w:ascii="Arial" w:hAnsi="Arial" w:cs="Arial"/>
          <w:sz w:val="22"/>
          <w:szCs w:val="24"/>
        </w:rPr>
        <w:t xml:space="preserve"> </w:t>
      </w:r>
    </w:p>
    <w:p>
      <w:pPr>
        <w:spacing w:line="360" w:lineRule="auto"/>
        <w:ind w:firstLine="720"/>
        <w:rPr>
          <w:rFonts w:ascii="Arial" w:hAnsi="Arial" w:cs="Arial"/>
          <w:sz w:val="22"/>
          <w:szCs w:val="24"/>
        </w:rPr>
      </w:pPr>
      <w:r>
        <w:rPr>
          <w:rFonts w:ascii="Arial" w:hAnsi="Arial" w:cs="Arial"/>
          <w:sz w:val="22"/>
          <w:szCs w:val="24"/>
          <w:lang w:val="id-ID"/>
        </w:rPr>
        <w:t>Sampel</w:t>
      </w:r>
      <w:r>
        <w:rPr>
          <w:rFonts w:ascii="Arial" w:hAnsi="Arial" w:cs="Arial"/>
          <w:sz w:val="22"/>
          <w:szCs w:val="24"/>
        </w:rPr>
        <w:t xml:space="preserve"> pengujian</w:t>
      </w:r>
      <w:r>
        <w:rPr>
          <w:rFonts w:ascii="Arial" w:hAnsi="Arial" w:cs="Arial"/>
          <w:sz w:val="22"/>
          <w:szCs w:val="24"/>
          <w:lang w:val="id-ID"/>
        </w:rPr>
        <w:t xml:space="preserve"> terdiri dari</w:t>
      </w:r>
      <w:r>
        <w:rPr>
          <w:rFonts w:ascii="Arial" w:hAnsi="Arial" w:cs="Arial"/>
          <w:sz w:val="22"/>
          <w:szCs w:val="24"/>
        </w:rPr>
        <w:t xml:space="preserve"> referen (R) berupa larutan garam dengan konsentrasi 0.30 g/100 mL dan 0.42 g/100 mL</w:t>
      </w:r>
      <w:r>
        <w:rPr>
          <w:rFonts w:ascii="Arial" w:hAnsi="Arial" w:cs="Arial"/>
          <w:i/>
          <w:sz w:val="22"/>
          <w:szCs w:val="24"/>
        </w:rPr>
        <w:t xml:space="preserve">, </w:t>
      </w:r>
      <w:r>
        <w:rPr>
          <w:rFonts w:ascii="Arial" w:hAnsi="Arial" w:cs="Arial"/>
          <w:sz w:val="22"/>
          <w:szCs w:val="24"/>
        </w:rPr>
        <w:t xml:space="preserve">dan enam sampel uji berupa larutan garam yang ditambahkan MSG dengan konsentrasi 0.01 g MSG/100 mL, 0.02 </w:t>
      </w:r>
      <w:r>
        <w:rPr>
          <w:rFonts w:ascii="Arial" w:hAnsi="Arial" w:cs="Arial"/>
          <w:sz w:val="22"/>
          <w:szCs w:val="24"/>
        </w:rPr>
        <w:lastRenderedPageBreak/>
        <w:t xml:space="preserve">MSG/100 mL, 0.04 MSG/100 mL, 0.08 MSG/100 mL, 0.16 MSG/100 mL, dan 0.32 g/100 mL dalam larutan garam. Setiap wadah </w:t>
      </w:r>
      <w:r>
        <w:rPr>
          <w:rFonts w:ascii="Arial" w:hAnsi="Arial" w:cs="Arial"/>
          <w:i/>
          <w:sz w:val="22"/>
          <w:szCs w:val="24"/>
        </w:rPr>
        <w:t xml:space="preserve">cup </w:t>
      </w:r>
      <w:r>
        <w:rPr>
          <w:rFonts w:ascii="Arial" w:hAnsi="Arial" w:cs="Arial"/>
          <w:sz w:val="22"/>
          <w:szCs w:val="24"/>
        </w:rPr>
        <w:t xml:space="preserve">plastik diberi kode tiga digit angka acak. </w:t>
      </w:r>
    </w:p>
    <w:p>
      <w:pPr>
        <w:spacing w:line="360" w:lineRule="auto"/>
        <w:ind w:firstLine="720"/>
        <w:rPr>
          <w:rFonts w:ascii="Arial" w:hAnsi="Arial" w:cs="Arial"/>
          <w:sz w:val="22"/>
          <w:szCs w:val="24"/>
          <w:u w:val="single"/>
        </w:rPr>
      </w:pPr>
      <w:r>
        <w:rPr>
          <w:rFonts w:ascii="Arial" w:hAnsi="Arial" w:cs="Arial"/>
          <w:sz w:val="22"/>
          <w:szCs w:val="24"/>
        </w:rPr>
        <w:t xml:space="preserve">Setiap panelis diberikan satu sampel referen (R) berupa larutan garam tanpa MSG dan enam sampel uji yaitu larutan garam dengan variasi konsentrasi MSG. Pertama, panelis diminta untuk mencicipi </w:t>
      </w:r>
      <w:r>
        <w:rPr>
          <w:rFonts w:ascii="Arial" w:hAnsi="Arial" w:cs="Arial"/>
          <w:sz w:val="22"/>
          <w:szCs w:val="24"/>
          <w:lang w:val="id-ID"/>
        </w:rPr>
        <w:t xml:space="preserve">R </w:t>
      </w:r>
      <w:r>
        <w:rPr>
          <w:rFonts w:ascii="Arial" w:hAnsi="Arial" w:cs="Arial"/>
          <w:sz w:val="22"/>
          <w:szCs w:val="24"/>
        </w:rPr>
        <w:t xml:space="preserve">untuk familiarisasi, kemudian panelis melakukan penetralan dengan meminum air putih. Selanjutnya panelis mendapatkan sampel uji satu per satu untuk dcicip. Panelis diminta untuk membandingkan apakah sampel tersebut sama atau tidak dengan R, dan seberapa yakin panelis terhadap perbedaan tersebut dengan pilihan respon yang terdiri dari 6 katagori seperti Tabel 1. Dalam satu seri uji terdapat satu sampel </w:t>
      </w:r>
      <w:r>
        <w:rPr>
          <w:rFonts w:ascii="Arial" w:hAnsi="Arial" w:cs="Arial"/>
          <w:i/>
          <w:sz w:val="22"/>
          <w:szCs w:val="24"/>
        </w:rPr>
        <w:t>blind control</w:t>
      </w:r>
      <w:r>
        <w:rPr>
          <w:rFonts w:ascii="Arial" w:hAnsi="Arial" w:cs="Arial"/>
          <w:sz w:val="22"/>
          <w:szCs w:val="24"/>
        </w:rPr>
        <w:t xml:space="preserve"> atau sampel referen yang dijadikan sebagai sampel uji. Setiap pergantian sampel, panelis </w:t>
      </w:r>
      <w:r>
        <w:rPr>
          <w:rFonts w:ascii="Arial" w:hAnsi="Arial" w:cs="Arial"/>
          <w:sz w:val="22"/>
          <w:szCs w:val="24"/>
          <w:lang w:val="id-ID"/>
        </w:rPr>
        <w:t>harus</w:t>
      </w:r>
      <w:r>
        <w:rPr>
          <w:rFonts w:ascii="Arial" w:hAnsi="Arial" w:cs="Arial"/>
          <w:sz w:val="22"/>
          <w:szCs w:val="24"/>
        </w:rPr>
        <w:t xml:space="preserve"> menetralkan indra pencicip.</w:t>
      </w:r>
    </w:p>
    <w:p>
      <w:pPr>
        <w:spacing w:after="240" w:line="360" w:lineRule="auto"/>
        <w:ind w:firstLine="0"/>
        <w:rPr>
          <w:rFonts w:ascii="Arial" w:hAnsi="Arial" w:cs="Arial"/>
          <w:sz w:val="22"/>
          <w:szCs w:val="24"/>
        </w:rPr>
      </w:pPr>
      <w:r>
        <w:rPr>
          <w:rFonts w:ascii="Arial" w:hAnsi="Arial" w:cs="Arial"/>
          <w:sz w:val="22"/>
          <w:szCs w:val="24"/>
        </w:rPr>
        <w:tab/>
        <w:t>Analisis data R-index dilakukan dengan menghitung nilai persen R-indeks  pada masing-masing konsentrasi dengan menggunakan dengan rumus dari Lee dan Van Hout (2009) sebagai berikut:</w:t>
      </w:r>
    </w:p>
    <w:p>
      <w:pPr>
        <w:spacing w:after="240" w:line="360" w:lineRule="auto"/>
        <w:ind w:firstLine="0"/>
        <w:rPr>
          <w:rFonts w:ascii="Arial" w:hAnsi="Arial" w:cs="Arial"/>
          <w:sz w:val="18"/>
          <w:szCs w:val="20"/>
        </w:rPr>
      </w:pPr>
      <m:oMathPara>
        <m:oMath>
          <m:r>
            <w:rPr>
              <w:rFonts w:ascii="Cambria Math" w:hAnsi="Cambria Math" w:cs="Arial"/>
              <w:sz w:val="18"/>
              <w:szCs w:val="20"/>
            </w:rPr>
            <m:t>R-index</m:t>
          </m:r>
          <m:d>
            <m:dPr>
              <m:ctrlPr>
                <w:rPr>
                  <w:rFonts w:ascii="Cambria Math" w:hAnsi="Cambria Math" w:cs="Arial"/>
                  <w:i/>
                  <w:sz w:val="18"/>
                  <w:szCs w:val="20"/>
                </w:rPr>
              </m:ctrlPr>
            </m:dPr>
            <m:e>
              <m:r>
                <w:rPr>
                  <w:rFonts w:ascii="Cambria Math" w:hAnsi="Cambria Math" w:cs="Arial"/>
                  <w:sz w:val="18"/>
                  <w:szCs w:val="20"/>
                </w:rPr>
                <m:t>%</m:t>
              </m:r>
            </m:e>
          </m:d>
          <m:r>
            <w:rPr>
              <w:rFonts w:ascii="Cambria Math" w:hAnsi="Cambria Math" w:cs="Arial"/>
              <w:sz w:val="18"/>
              <w:szCs w:val="20"/>
            </w:rPr>
            <m:t>=</m:t>
          </m:r>
          <m:f>
            <m:fPr>
              <m:ctrlPr>
                <w:rPr>
                  <w:rFonts w:ascii="Cambria Math" w:hAnsi="Cambria Math" w:cs="Arial"/>
                  <w:i/>
                  <w:sz w:val="18"/>
                  <w:szCs w:val="20"/>
                </w:rPr>
              </m:ctrlPr>
            </m:fPr>
            <m:num>
              <m:r>
                <w:rPr>
                  <w:rFonts w:ascii="Cambria Math" w:hAnsi="Cambria Math" w:cs="Arial"/>
                  <w:sz w:val="18"/>
                  <w:szCs w:val="20"/>
                </w:rPr>
                <m:t>a</m:t>
              </m:r>
              <m:d>
                <m:dPr>
                  <m:ctrlPr>
                    <w:rPr>
                      <w:rFonts w:ascii="Cambria Math" w:hAnsi="Cambria Math" w:cs="Arial"/>
                      <w:i/>
                      <w:sz w:val="18"/>
                      <w:szCs w:val="20"/>
                    </w:rPr>
                  </m:ctrlPr>
                </m:dPr>
                <m:e>
                  <m:r>
                    <w:rPr>
                      <w:rFonts w:ascii="Cambria Math" w:hAnsi="Cambria Math" w:cs="Arial"/>
                      <w:sz w:val="18"/>
                      <w:szCs w:val="20"/>
                    </w:rPr>
                    <m:t>h+i+j+k+l</m:t>
                  </m:r>
                </m:e>
              </m:d>
              <m:r>
                <w:rPr>
                  <w:rFonts w:ascii="Cambria Math" w:hAnsi="Cambria Math" w:cs="Arial"/>
                  <w:sz w:val="18"/>
                  <w:szCs w:val="20"/>
                </w:rPr>
                <m:t>+(b</m:t>
              </m:r>
              <m:d>
                <m:dPr>
                  <m:ctrlPr>
                    <w:rPr>
                      <w:rFonts w:ascii="Cambria Math" w:hAnsi="Cambria Math" w:cs="Arial"/>
                      <w:i/>
                      <w:sz w:val="18"/>
                      <w:szCs w:val="20"/>
                    </w:rPr>
                  </m:ctrlPr>
                </m:dPr>
                <m:e>
                  <m:r>
                    <w:rPr>
                      <w:rFonts w:ascii="Cambria Math" w:hAnsi="Cambria Math" w:cs="Arial"/>
                      <w:sz w:val="18"/>
                      <w:szCs w:val="20"/>
                    </w:rPr>
                    <m:t>1+j+k+l</m:t>
                  </m:r>
                </m:e>
              </m:d>
              <m:r>
                <w:rPr>
                  <w:rFonts w:ascii="Cambria Math" w:hAnsi="Cambria Math" w:cs="Arial"/>
                  <w:sz w:val="18"/>
                  <w:szCs w:val="20"/>
                </w:rPr>
                <m:t>+c</m:t>
              </m:r>
              <m:d>
                <m:dPr>
                  <m:ctrlPr>
                    <w:rPr>
                      <w:rFonts w:ascii="Cambria Math" w:hAnsi="Cambria Math" w:cs="Arial"/>
                      <w:i/>
                      <w:sz w:val="18"/>
                      <w:szCs w:val="20"/>
                    </w:rPr>
                  </m:ctrlPr>
                </m:dPr>
                <m:e>
                  <m:r>
                    <w:rPr>
                      <w:rFonts w:ascii="Cambria Math" w:hAnsi="Cambria Math" w:cs="Arial"/>
                      <w:sz w:val="18"/>
                      <w:szCs w:val="20"/>
                    </w:rPr>
                    <m:t>j+k+l</m:t>
                  </m:r>
                </m:e>
              </m:d>
              <m:r>
                <w:rPr>
                  <w:rFonts w:ascii="Cambria Math" w:hAnsi="Cambria Math" w:cs="Arial"/>
                  <w:sz w:val="18"/>
                  <w:szCs w:val="20"/>
                </w:rPr>
                <m:t>+e</m:t>
              </m:r>
              <m:d>
                <m:dPr>
                  <m:ctrlPr>
                    <w:rPr>
                      <w:rFonts w:ascii="Cambria Math" w:hAnsi="Cambria Math" w:cs="Arial"/>
                      <w:i/>
                      <w:sz w:val="18"/>
                      <w:szCs w:val="20"/>
                    </w:rPr>
                  </m:ctrlPr>
                </m:dPr>
                <m:e>
                  <m:r>
                    <w:rPr>
                      <w:rFonts w:ascii="Cambria Math" w:hAnsi="Cambria Math" w:cs="Arial"/>
                      <w:sz w:val="18"/>
                      <w:szCs w:val="20"/>
                    </w:rPr>
                    <m:t>l</m:t>
                  </m:r>
                </m:e>
              </m:d>
              <m:r>
                <w:rPr>
                  <w:rFonts w:ascii="Cambria Math" w:hAnsi="Cambria Math" w:cs="Arial"/>
                  <w:sz w:val="18"/>
                  <w:szCs w:val="20"/>
                </w:rPr>
                <m:t>+0.5(ag+bh+ci+dj+ek+fl)</m:t>
              </m:r>
            </m:num>
            <m:den>
              <m:d>
                <m:dPr>
                  <m:ctrlPr>
                    <w:rPr>
                      <w:rFonts w:ascii="Cambria Math" w:hAnsi="Cambria Math" w:cs="Arial"/>
                      <w:i/>
                      <w:sz w:val="18"/>
                      <w:szCs w:val="20"/>
                    </w:rPr>
                  </m:ctrlPr>
                </m:dPr>
                <m:e>
                  <m:r>
                    <w:rPr>
                      <w:rFonts w:ascii="Cambria Math" w:hAnsi="Cambria Math" w:cs="Arial"/>
                      <w:sz w:val="18"/>
                      <w:szCs w:val="20"/>
                    </w:rPr>
                    <m:t>a+b+c+d+e</m:t>
                  </m:r>
                </m:e>
              </m:d>
              <m:d>
                <m:dPr>
                  <m:ctrlPr>
                    <w:rPr>
                      <w:rFonts w:ascii="Cambria Math" w:hAnsi="Cambria Math" w:cs="Arial"/>
                      <w:i/>
                      <w:sz w:val="18"/>
                      <w:szCs w:val="20"/>
                    </w:rPr>
                  </m:ctrlPr>
                </m:dPr>
                <m:e>
                  <m:r>
                    <w:rPr>
                      <w:rFonts w:ascii="Cambria Math" w:hAnsi="Cambria Math" w:cs="Arial"/>
                      <w:sz w:val="18"/>
                      <w:szCs w:val="20"/>
                    </w:rPr>
                    <m:t>g+h+i+j+k+l</m:t>
                  </m:r>
                </m:e>
              </m:d>
            </m:den>
          </m:f>
          <m:r>
            <w:rPr>
              <w:rFonts w:ascii="Cambria Math" w:hAnsi="Cambria Math" w:cs="Arial"/>
              <w:sz w:val="18"/>
              <w:szCs w:val="20"/>
            </w:rPr>
            <m:t>x100%</m:t>
          </m:r>
        </m:oMath>
      </m:oMathPara>
    </w:p>
    <w:p>
      <w:pPr>
        <w:spacing w:after="240" w:line="360" w:lineRule="auto"/>
        <w:ind w:firstLine="0"/>
        <w:rPr>
          <w:rFonts w:ascii="Arial" w:hAnsi="Arial" w:cs="Arial"/>
          <w:sz w:val="22"/>
          <w:szCs w:val="24"/>
        </w:rPr>
      </w:pPr>
      <w:r>
        <w:rPr>
          <w:rFonts w:ascii="Arial" w:hAnsi="Arial" w:cs="Arial"/>
          <w:sz w:val="22"/>
          <w:szCs w:val="24"/>
        </w:rPr>
        <w:t>Nilai abjad a - l mengacu pada Tabel 1. Nilai R-indeks hitung selanjutnya dibandingkan dengan nilai R-indeks kritis yang mengacu pada Tabel statistik yang dipublikasikan oleh (Bi dan O’Mahony 2007).</w:t>
      </w:r>
    </w:p>
    <w:p>
      <w:pPr>
        <w:spacing w:line="360" w:lineRule="auto"/>
        <w:ind w:firstLine="0"/>
        <w:jc w:val="center"/>
        <w:rPr>
          <w:rFonts w:ascii="Arial" w:hAnsi="Arial" w:cs="Arial"/>
          <w:b/>
          <w:sz w:val="22"/>
          <w:szCs w:val="24"/>
        </w:rPr>
      </w:pPr>
      <w:bookmarkStart w:id="38" w:name="_Toc330535333"/>
      <w:bookmarkStart w:id="39" w:name="_Toc330535359"/>
      <w:bookmarkStart w:id="40" w:name="_Toc330964712"/>
      <w:bookmarkStart w:id="41" w:name="_Toc453596064"/>
      <w:bookmarkStart w:id="42" w:name="_Toc454451160"/>
      <w:bookmarkStart w:id="43" w:name="_Toc468430116"/>
      <w:r>
        <w:rPr>
          <w:rFonts w:ascii="Arial" w:hAnsi="Arial" w:cs="Arial"/>
          <w:b/>
          <w:sz w:val="22"/>
          <w:szCs w:val="24"/>
        </w:rPr>
        <w:t>HASIL DAN PEMBAHASAN</w:t>
      </w:r>
      <w:bookmarkStart w:id="44" w:name="_Toc468430117"/>
      <w:bookmarkEnd w:id="38"/>
      <w:bookmarkEnd w:id="39"/>
      <w:bookmarkEnd w:id="40"/>
      <w:bookmarkEnd w:id="41"/>
      <w:bookmarkEnd w:id="42"/>
      <w:bookmarkEnd w:id="43"/>
    </w:p>
    <w:p>
      <w:pPr>
        <w:pStyle w:val="Heading2"/>
        <w:tabs>
          <w:tab w:val="left" w:pos="5310"/>
        </w:tabs>
        <w:spacing w:after="120" w:line="360" w:lineRule="auto"/>
        <w:rPr>
          <w:rFonts w:ascii="Arial" w:hAnsi="Arial" w:cs="Arial"/>
          <w:sz w:val="22"/>
          <w:szCs w:val="24"/>
        </w:rPr>
      </w:pPr>
      <w:r>
        <w:rPr>
          <w:rFonts w:ascii="Arial" w:hAnsi="Arial" w:cs="Arial"/>
          <w:sz w:val="22"/>
          <w:szCs w:val="24"/>
        </w:rPr>
        <w:t>Penetapan Konsentrasi Garam</w:t>
      </w:r>
      <w:bookmarkEnd w:id="44"/>
      <w:r>
        <w:rPr>
          <w:rFonts w:ascii="Arial" w:hAnsi="Arial" w:cs="Arial"/>
          <w:sz w:val="22"/>
          <w:szCs w:val="24"/>
        </w:rPr>
        <w:t xml:space="preserve"> dalam Model Pangan</w:t>
      </w:r>
    </w:p>
    <w:p>
      <w:pPr>
        <w:spacing w:line="360" w:lineRule="auto"/>
        <w:ind w:firstLine="720"/>
        <w:rPr>
          <w:rFonts w:ascii="Arial" w:hAnsi="Arial" w:cs="Arial"/>
          <w:sz w:val="22"/>
          <w:szCs w:val="24"/>
        </w:rPr>
      </w:pPr>
      <w:r>
        <w:rPr>
          <w:rFonts w:ascii="Arial" w:hAnsi="Arial" w:cs="Arial"/>
          <w:sz w:val="22"/>
          <w:szCs w:val="24"/>
        </w:rPr>
        <w:t xml:space="preserve">Penetapan konsentrasi garam yang paling disukai pada model pangan (dalam hal ini digunakan sayur bayam bening) dilakukan menggunakan uji ranking hedonik. Hasil uji Friedman menunjukkan perbedaan konsentrasi garam yang signifikan antar sampel (p &lt; 0.05). Selanjutnya dilakukan uji LSD Rank untuk menilai perbedaan antar sampel pada </w:t>
      </w:r>
      <w:r>
        <w:rPr>
          <w:rFonts w:ascii="Arial" w:hAnsi="Arial" w:cs="Arial"/>
          <w:sz w:val="22"/>
          <w:szCs w:val="24"/>
        </w:rPr>
        <w:sym w:font="Symbol" w:char="F061"/>
      </w:r>
      <w:r>
        <w:rPr>
          <w:rFonts w:ascii="Arial" w:hAnsi="Arial" w:cs="Arial"/>
          <w:sz w:val="22"/>
          <w:szCs w:val="24"/>
        </w:rPr>
        <w:t xml:space="preserve"> 5%. Berdasarkan Tabel 2 dapat dilihat bahwa konsentrasi garam 0.42 g/100 mL dan 0.48 g/100 mL merupakan sampel yang paling disukai dan tidak berbeda nyata pada taraf 5%. Oleh sebab itu selanjutnya konsentrasi garam 0.42 g/100 mL selanjutnya digunakan untuk penentuan kadar MSG. Satu konsentrasi garam yang dipilih adalah konsentrasi garam yang lebih rendah dari 0.42 g/100 mL. Berdasarkan Tabel 2, konsentrasi garam yang memberikan perbedaan jumlah peringkat yang signifikan adalah 0.30 g/100 mL. Pengurangan kadar garam </w:t>
      </w:r>
      <w:r>
        <w:rPr>
          <w:rFonts w:ascii="Arial" w:hAnsi="Arial" w:cs="Arial"/>
          <w:sz w:val="22"/>
          <w:szCs w:val="24"/>
        </w:rPr>
        <w:lastRenderedPageBreak/>
        <w:t>merupakan hal yang umum dilakukan dengan pertimbangan kesehatan. Dengan demikian pada penelitian selanjutnya digunkan dua konsentrasi garam yaitu 0.30 g/100 mL dan 0.42 g/100 mL.</w:t>
      </w:r>
    </w:p>
    <w:p>
      <w:pPr>
        <w:pStyle w:val="Heading2"/>
        <w:spacing w:before="240" w:line="360" w:lineRule="auto"/>
        <w:rPr>
          <w:rFonts w:ascii="Arial" w:hAnsi="Arial" w:cs="Arial"/>
          <w:sz w:val="22"/>
          <w:szCs w:val="24"/>
        </w:rPr>
      </w:pPr>
      <w:bookmarkStart w:id="45" w:name="_Toc468430118"/>
      <w:r>
        <w:rPr>
          <w:rFonts w:ascii="Arial" w:hAnsi="Arial" w:cs="Arial"/>
          <w:sz w:val="22"/>
          <w:szCs w:val="24"/>
        </w:rPr>
        <w:t>Ambang Preferensi</w:t>
      </w:r>
      <w:bookmarkEnd w:id="45"/>
      <w:r>
        <w:rPr>
          <w:rFonts w:ascii="Arial" w:hAnsi="Arial" w:cs="Arial"/>
          <w:sz w:val="22"/>
          <w:szCs w:val="24"/>
        </w:rPr>
        <w:t xml:space="preserve"> Rasa Umami</w:t>
      </w:r>
    </w:p>
    <w:p>
      <w:pPr>
        <w:spacing w:line="360" w:lineRule="auto"/>
        <w:ind w:firstLine="720"/>
        <w:rPr>
          <w:rFonts w:ascii="Arial" w:hAnsi="Arial" w:cs="Arial"/>
          <w:sz w:val="22"/>
          <w:szCs w:val="24"/>
          <w:lang/>
        </w:rPr>
      </w:pPr>
      <w:r>
        <w:rPr>
          <w:rFonts w:ascii="Arial" w:hAnsi="Arial" w:cs="Arial"/>
          <w:sz w:val="22"/>
          <w:szCs w:val="24"/>
        </w:rPr>
        <w:t>Ambang preferensi didefinisikan sebagai konsentrasi stimulus terendah yang menghasilkan kesan/rasa tertentu yang mulai disukai konsumen</w:t>
      </w:r>
      <w:r>
        <w:rPr>
          <w:rFonts w:ascii="Arial" w:hAnsi="Arial" w:cs="Arial"/>
          <w:sz w:val="22"/>
          <w:szCs w:val="24"/>
          <w:lang/>
        </w:rPr>
        <w:t>. Nilai 5 pada skala kesukaan merupakan nilai dimana panelis mulai menyukai sampel pada konsentrasi tertentu.</w:t>
      </w:r>
      <w:r>
        <w:rPr>
          <w:rFonts w:ascii="Arial" w:hAnsi="Arial" w:cs="Arial"/>
          <w:color w:val="000000"/>
          <w:sz w:val="22"/>
          <w:szCs w:val="24"/>
        </w:rPr>
        <w:t xml:space="preserve"> </w:t>
      </w:r>
      <w:r>
        <w:rPr>
          <w:rFonts w:ascii="Arial" w:hAnsi="Arial" w:cs="Arial"/>
          <w:sz w:val="22"/>
          <w:szCs w:val="24"/>
        </w:rPr>
        <w:t xml:space="preserve">Ambang preferensi berkaitan erat dengan penerimaan konsumen. </w:t>
      </w:r>
      <w:r>
        <w:rPr>
          <w:rFonts w:ascii="Arial" w:hAnsi="Arial" w:cs="Arial"/>
          <w:sz w:val="22"/>
          <w:szCs w:val="24"/>
          <w:lang/>
        </w:rPr>
        <w:t xml:space="preserve">Berdasarkan Gambar 1, konsentrasi garam yang lebih tinggi (0.42 g/100 mL) memberikan nilai skor kesukaan yang lebih tinggi dibandingkan konsentrasi garam yang lebih rendah (0.30 g/100 mL). Pada masing-masing konsentrasi garam dapat dilihat semakin tinggi konsentrasi MSG maka tingkat kesukaan semakin tinggi. </w:t>
      </w:r>
    </w:p>
    <w:p>
      <w:pPr>
        <w:spacing w:line="360" w:lineRule="auto"/>
        <w:ind w:firstLine="720"/>
        <w:rPr>
          <w:rFonts w:ascii="Arial" w:hAnsi="Arial" w:cs="Arial"/>
          <w:sz w:val="22"/>
          <w:szCs w:val="24"/>
        </w:rPr>
      </w:pPr>
      <w:r>
        <w:rPr>
          <w:rFonts w:ascii="Arial" w:hAnsi="Arial" w:cs="Arial"/>
          <w:sz w:val="22"/>
          <w:szCs w:val="24"/>
          <w:lang/>
        </w:rPr>
        <w:t xml:space="preserve">Dengan melakukan penarikan garis dari kurva pada Gambar 1, maka ambang preferensi umami pada konsentrasi garam 0.30 </w:t>
      </w:r>
      <w:r>
        <w:rPr>
          <w:rFonts w:ascii="Arial" w:hAnsi="Arial" w:cs="Arial"/>
          <w:sz w:val="22"/>
          <w:szCs w:val="24"/>
        </w:rPr>
        <w:t>g/100 mL</w:t>
      </w:r>
      <w:r>
        <w:rPr>
          <w:rFonts w:ascii="Arial" w:hAnsi="Arial" w:cs="Arial"/>
          <w:sz w:val="22"/>
          <w:szCs w:val="24"/>
          <w:lang/>
        </w:rPr>
        <w:t xml:space="preserve"> adalah 0.16 </w:t>
      </w:r>
      <w:r>
        <w:rPr>
          <w:rFonts w:ascii="Arial" w:hAnsi="Arial" w:cs="Arial"/>
          <w:sz w:val="22"/>
          <w:szCs w:val="24"/>
        </w:rPr>
        <w:t>g MSG/100 mL</w:t>
      </w:r>
      <w:r>
        <w:rPr>
          <w:rFonts w:ascii="Arial" w:hAnsi="Arial" w:cs="Arial"/>
          <w:sz w:val="22"/>
          <w:szCs w:val="24"/>
          <w:lang/>
        </w:rPr>
        <w:t xml:space="preserve">, sedangkan pada konsentrasi garam 0.42 </w:t>
      </w:r>
      <w:r>
        <w:rPr>
          <w:rFonts w:ascii="Arial" w:hAnsi="Arial" w:cs="Arial"/>
          <w:sz w:val="22"/>
          <w:szCs w:val="24"/>
        </w:rPr>
        <w:t>g/100 mL</w:t>
      </w:r>
      <w:r>
        <w:rPr>
          <w:rFonts w:ascii="Arial" w:hAnsi="Arial" w:cs="Arial"/>
          <w:sz w:val="22"/>
          <w:szCs w:val="24"/>
          <w:lang/>
        </w:rPr>
        <w:t xml:space="preserve"> adalah 0.05 </w:t>
      </w:r>
      <w:r>
        <w:rPr>
          <w:rFonts w:ascii="Arial" w:hAnsi="Arial" w:cs="Arial"/>
          <w:sz w:val="22"/>
          <w:szCs w:val="24"/>
        </w:rPr>
        <w:t>g MSG/100 mL.</w:t>
      </w:r>
    </w:p>
    <w:p>
      <w:pPr>
        <w:spacing w:line="360" w:lineRule="auto"/>
        <w:ind w:firstLine="0"/>
        <w:rPr>
          <w:rFonts w:ascii="Arial" w:hAnsi="Arial" w:cs="Arial"/>
          <w:sz w:val="22"/>
          <w:szCs w:val="24"/>
          <w:lang/>
        </w:rPr>
      </w:pPr>
      <w:r>
        <w:rPr>
          <w:rFonts w:ascii="Arial" w:hAnsi="Arial" w:cs="Arial"/>
          <w:sz w:val="22"/>
          <w:szCs w:val="24"/>
          <w:lang/>
        </w:rPr>
        <w:tab/>
        <w:t xml:space="preserve">Penentuan ambang preferensi lain yang dilakukan menggunakan pendekatan persamaan psikofisik model Steven dan Fechner </w:t>
      </w:r>
      <w:r>
        <w:rPr>
          <w:rFonts w:ascii="Arial" w:hAnsi="Arial" w:cs="Arial"/>
          <w:sz w:val="22"/>
          <w:szCs w:val="24"/>
        </w:rPr>
        <w:t>berdasarkan nilai. Persamaan ini dapat digunakan untuk menjelaskan pengaruh sensasi fisik atau kimia terhadap respon sensori (psikofisik). Nilai jnd menjadi dasar hubungan psikofisik antara intensitas stimulus dengan intensitas sensori yang dirasakan. Pemberian skala berupa angka digunakan untuk mengekspresikan intensitas dari atribut yang dirasakan (Lawless 2010).</w:t>
      </w:r>
      <w:r>
        <w:rPr>
          <w:rFonts w:ascii="Arial" w:hAnsi="Arial" w:cs="Arial"/>
          <w:sz w:val="22"/>
          <w:szCs w:val="24"/>
          <w:lang/>
        </w:rPr>
        <w:t xml:space="preserve"> Pola linear untuk mode Steven diperolah dengan plot antara log konsentrasi MSG (log C) dengan log skor sensori (log S) (Gambar 2). Sedangkan pola liner untuk model Fechner diperoleh dari plot hubungan log konsentrasi MSG dengan skor sensori (Gambar 3). Persamaan Fechner memberikan nilai R</w:t>
      </w:r>
      <w:r>
        <w:rPr>
          <w:rFonts w:ascii="Arial" w:hAnsi="Arial" w:cs="Arial"/>
          <w:sz w:val="22"/>
          <w:szCs w:val="24"/>
          <w:vertAlign w:val="superscript"/>
          <w:lang/>
        </w:rPr>
        <w:t xml:space="preserve">2 </w:t>
      </w:r>
      <w:r>
        <w:rPr>
          <w:rFonts w:ascii="Arial" w:hAnsi="Arial" w:cs="Arial"/>
          <w:sz w:val="22"/>
          <w:szCs w:val="24"/>
          <w:lang/>
        </w:rPr>
        <w:t>yang lebih tinggi (Gambar 3) dibandingkan persamaan Steven pada percobaan ini (Gambar 2). Nilai R</w:t>
      </w:r>
      <w:r>
        <w:rPr>
          <w:rFonts w:ascii="Arial" w:hAnsi="Arial" w:cs="Arial"/>
          <w:sz w:val="22"/>
          <w:szCs w:val="24"/>
          <w:vertAlign w:val="superscript"/>
          <w:lang/>
        </w:rPr>
        <w:t>2</w:t>
      </w:r>
      <w:r>
        <w:rPr>
          <w:rFonts w:ascii="Arial" w:hAnsi="Arial" w:cs="Arial"/>
          <w:sz w:val="22"/>
          <w:szCs w:val="24"/>
          <w:lang/>
        </w:rPr>
        <w:t xml:space="preserve"> yang tinggi menunjukkan korelasi antara konsentrasi sampel dan skor respon panelis kuat.</w:t>
      </w:r>
    </w:p>
    <w:p>
      <w:pPr>
        <w:spacing w:line="360" w:lineRule="auto"/>
        <w:rPr>
          <w:rFonts w:ascii="Arial" w:hAnsi="Arial" w:cs="Arial"/>
          <w:sz w:val="22"/>
          <w:szCs w:val="24"/>
        </w:rPr>
      </w:pPr>
      <w:r>
        <w:rPr>
          <w:rFonts w:ascii="Arial" w:hAnsi="Arial" w:cs="Arial"/>
          <w:sz w:val="22"/>
          <w:szCs w:val="24"/>
          <w:lang/>
        </w:rPr>
        <w:t>Persamaan regresi menghasilkan nilai R</w:t>
      </w:r>
      <w:r>
        <w:rPr>
          <w:rFonts w:ascii="Arial" w:hAnsi="Arial" w:cs="Arial"/>
          <w:sz w:val="22"/>
          <w:szCs w:val="24"/>
          <w:vertAlign w:val="superscript"/>
          <w:lang/>
        </w:rPr>
        <w:t>2</w:t>
      </w:r>
      <w:r>
        <w:rPr>
          <w:rFonts w:ascii="Arial" w:hAnsi="Arial" w:cs="Arial"/>
          <w:sz w:val="22"/>
          <w:szCs w:val="24"/>
          <w:lang/>
        </w:rPr>
        <w:t xml:space="preserve"> yang merupakan koefisien determinasi untuk menghitung besarnya pengaruh variabel bebas terhadap variabel tergantung (Sarwono 2006). Persamaan regresi juga menghasilkan nilai slope dan intersep yang dapat dilihat pada Tabel 3. Nilai slope dan intersep pada Tabel 3 merupakan nilai koefisien dan konsentrasi pada persamaan model Fechner. Menggunakan persamaan yang diperoleh dari kedua persamaan tersebut, dan memasukkan nilai skor sensori = 5, maka ambang preferensi umami dari MSG pada model pangan sayur bayam bening </w:t>
      </w:r>
      <w:r>
        <w:rPr>
          <w:rFonts w:ascii="Arial" w:hAnsi="Arial" w:cs="Arial"/>
          <w:sz w:val="22"/>
          <w:szCs w:val="24"/>
          <w:lang/>
        </w:rPr>
        <w:lastRenderedPageBreak/>
        <w:t xml:space="preserve">dapat ditentukan. Dengan persamaan Steven diperoleh ambang preferesi umami dari MSG pada konsentrasi garam 0.42 </w:t>
      </w:r>
      <w:r>
        <w:rPr>
          <w:rFonts w:ascii="Arial" w:hAnsi="Arial" w:cs="Arial"/>
          <w:sz w:val="22"/>
          <w:szCs w:val="24"/>
        </w:rPr>
        <w:t>g/100 mL</w:t>
      </w:r>
      <w:r>
        <w:rPr>
          <w:rFonts w:ascii="Arial" w:hAnsi="Arial" w:cs="Arial"/>
          <w:sz w:val="22"/>
          <w:szCs w:val="24"/>
          <w:lang/>
        </w:rPr>
        <w:t xml:space="preserve"> adalah 0.20 </w:t>
      </w:r>
      <w:r>
        <w:rPr>
          <w:rFonts w:ascii="Arial" w:hAnsi="Arial" w:cs="Arial"/>
          <w:sz w:val="22"/>
          <w:szCs w:val="24"/>
        </w:rPr>
        <w:t>g MSG/100 mL</w:t>
      </w:r>
      <w:r>
        <w:rPr>
          <w:rFonts w:ascii="Arial" w:hAnsi="Arial" w:cs="Arial"/>
          <w:sz w:val="22"/>
          <w:szCs w:val="24"/>
          <w:lang/>
        </w:rPr>
        <w:t xml:space="preserve"> dengan konsentrasi garam 0.30 </w:t>
      </w:r>
      <w:r>
        <w:rPr>
          <w:rFonts w:ascii="Arial" w:hAnsi="Arial" w:cs="Arial"/>
          <w:sz w:val="22"/>
          <w:szCs w:val="24"/>
        </w:rPr>
        <w:t>g/100 mL</w:t>
      </w:r>
      <w:r>
        <w:rPr>
          <w:rFonts w:ascii="Arial" w:hAnsi="Arial" w:cs="Arial"/>
          <w:sz w:val="22"/>
          <w:szCs w:val="24"/>
          <w:lang/>
        </w:rPr>
        <w:t xml:space="preserve"> adalah 0.79 </w:t>
      </w:r>
      <w:r>
        <w:rPr>
          <w:rFonts w:ascii="Arial" w:hAnsi="Arial" w:cs="Arial"/>
          <w:sz w:val="22"/>
          <w:szCs w:val="24"/>
        </w:rPr>
        <w:t>g MSG/100 mL</w:t>
      </w:r>
      <w:r>
        <w:rPr>
          <w:rFonts w:ascii="Arial" w:hAnsi="Arial" w:cs="Arial"/>
          <w:sz w:val="22"/>
          <w:szCs w:val="24"/>
          <w:lang/>
        </w:rPr>
        <w:t xml:space="preserve">, sedangkan dari model Fechner diperoleh ambang preferensi umami dari MSG pada konsentrasi garam 0.42 </w:t>
      </w:r>
      <w:r>
        <w:rPr>
          <w:rFonts w:ascii="Arial" w:hAnsi="Arial" w:cs="Arial"/>
          <w:sz w:val="22"/>
          <w:szCs w:val="24"/>
        </w:rPr>
        <w:t>g/100 mL</w:t>
      </w:r>
      <w:r>
        <w:rPr>
          <w:rFonts w:ascii="Arial" w:hAnsi="Arial" w:cs="Arial"/>
          <w:sz w:val="22"/>
          <w:szCs w:val="24"/>
          <w:lang/>
        </w:rPr>
        <w:t xml:space="preserve"> dan 0.30 g/mL masing-masing adalah 0.06 </w:t>
      </w:r>
      <w:r>
        <w:rPr>
          <w:rFonts w:ascii="Arial" w:hAnsi="Arial" w:cs="Arial"/>
          <w:sz w:val="22"/>
          <w:szCs w:val="24"/>
        </w:rPr>
        <w:t xml:space="preserve">g MSG/100 mL dan 0.25 g MSG/100 mL. </w:t>
      </w:r>
    </w:p>
    <w:p>
      <w:pPr>
        <w:spacing w:line="360" w:lineRule="auto"/>
        <w:rPr>
          <w:rFonts w:ascii="Arial" w:hAnsi="Arial" w:cs="Arial"/>
          <w:sz w:val="22"/>
          <w:szCs w:val="24"/>
          <w:lang/>
        </w:rPr>
      </w:pPr>
      <w:r>
        <w:rPr>
          <w:rFonts w:ascii="Arial" w:hAnsi="Arial" w:cs="Arial"/>
          <w:sz w:val="22"/>
          <w:szCs w:val="24"/>
          <w:lang/>
        </w:rPr>
        <w:t>Tabel 4 menunjukkan perbandingan nilai ambang preferensi rasa umami dari MSG pada dua konsentrasi garam yang berbeda menggunakan pendekatan kurva, model Steven dan Fechner. Terdapat perbedaan ambang preferensi rasa umami pada masing-masing persamaan yang digunakan.</w:t>
      </w:r>
      <w:r>
        <w:rPr>
          <w:rFonts w:ascii="Arial" w:hAnsi="Arial" w:cs="Arial"/>
          <w:sz w:val="22"/>
          <w:szCs w:val="24"/>
        </w:rPr>
        <w:t xml:space="preserve">  Nilai yang diperoleh menggunakan model Fechner lebih mendekati dengan metode kurva, dan nilai R</w:t>
      </w:r>
      <w:r>
        <w:rPr>
          <w:rFonts w:ascii="Arial" w:hAnsi="Arial" w:cs="Arial"/>
          <w:sz w:val="22"/>
          <w:szCs w:val="24"/>
          <w:vertAlign w:val="superscript"/>
        </w:rPr>
        <w:t>2</w:t>
      </w:r>
      <w:r>
        <w:rPr>
          <w:rFonts w:ascii="Arial" w:hAnsi="Arial" w:cs="Arial"/>
          <w:sz w:val="22"/>
          <w:szCs w:val="24"/>
        </w:rPr>
        <w:t xml:space="preserve"> yang lebih tinggi dari model Steven. Sedangkan persamaan Steven menghasilkan nilai yang terlalu tinggi. Kelemahan data yang dihasilkan dari metode kurva adalah dari sisi ketepatan penarikan garis melalui kurva yang dilakukan secara manual dengan penarikan garis terhadap sumbu y (konsentrasi umami) pada saat nilai kesukaan mencapai 5. Dengan mempertimbangkan koefisien determinasi serta validitas data, maka digunakan model Fechner untuk menentukan ambang preferensi. Berdasarkan model Fechner, nilai ambang deteksi rasa umami dari MSG dalam larutan garam 0.30 g/ 100 mL dan 0.42 g/100 mL masing-masing adalah 0.25 g MSG/ 100 mL dan 0.06 g MSG/100 ml.</w:t>
      </w:r>
    </w:p>
    <w:p>
      <w:pPr>
        <w:spacing w:line="360" w:lineRule="auto"/>
        <w:ind w:firstLine="720"/>
        <w:rPr>
          <w:rFonts w:ascii="Arial" w:hAnsi="Arial" w:cs="Arial"/>
          <w:sz w:val="22"/>
          <w:szCs w:val="24"/>
          <w:lang/>
        </w:rPr>
      </w:pPr>
      <w:r>
        <w:rPr>
          <w:rFonts w:ascii="Arial" w:hAnsi="Arial" w:cs="Arial"/>
          <w:sz w:val="22"/>
          <w:szCs w:val="24"/>
          <w:lang/>
        </w:rPr>
        <w:t xml:space="preserve">Secara umum menggunakan ketiga pendekatan penentuan ambang preferensi, dapat dilihat bahwa penurunan konsentrasi garam menyebabkan terjadinya peningkatan konsetrasi MSG untuk mencapai ambang preferesi yang sama. Sebaliknya, dengan meningkatkan konsentrasi garam pada tingkatan normal, maka konsentrasi MSG yang diperlukan menjadi lebih sedikit untuk mencapai nilai preferensi yang sama. Garam dan MSG memiliki efek sinergis dalam meningkatkan citarasa pada konsentrasi tertentu, sehingga dapat menurunkan jumlah penggunaan keduanya untuk mendapatkan sensasi yang sama. Penelitian Yamaguchi (2000) menunjukkan bahwa penambahan MSG ke dalam larutan garam dapat meningkatkan skor kesukaan. </w:t>
      </w:r>
      <w:r>
        <w:rPr>
          <w:rFonts w:ascii="Arial" w:hAnsi="Arial" w:cs="Arial"/>
          <w:sz w:val="22"/>
          <w:szCs w:val="24"/>
        </w:rPr>
        <w:t xml:space="preserve">Negara Jepang mengurangi asupan garam yang tinggi dengan menambahkan umami yang berasal dari MSG (Wakita </w:t>
      </w:r>
      <w:r>
        <w:rPr>
          <w:rFonts w:ascii="Arial" w:hAnsi="Arial" w:cs="Arial"/>
          <w:i/>
          <w:sz w:val="22"/>
          <w:szCs w:val="24"/>
        </w:rPr>
        <w:t>et al.</w:t>
      </w:r>
      <w:r>
        <w:rPr>
          <w:rFonts w:ascii="Arial" w:hAnsi="Arial" w:cs="Arial"/>
          <w:sz w:val="22"/>
          <w:szCs w:val="24"/>
        </w:rPr>
        <w:t xml:space="preserve"> 2013).</w:t>
      </w:r>
    </w:p>
    <w:p>
      <w:pPr>
        <w:spacing w:line="360" w:lineRule="auto"/>
        <w:jc w:val="center"/>
        <w:rPr>
          <w:rFonts w:ascii="Arial" w:hAnsi="Arial" w:cs="Arial"/>
          <w:b/>
          <w:sz w:val="22"/>
          <w:szCs w:val="24"/>
        </w:rPr>
      </w:pPr>
    </w:p>
    <w:p>
      <w:pPr>
        <w:spacing w:line="360" w:lineRule="auto"/>
        <w:jc w:val="center"/>
        <w:rPr>
          <w:rFonts w:ascii="Arial" w:hAnsi="Arial" w:cs="Arial"/>
          <w:b/>
          <w:sz w:val="22"/>
          <w:szCs w:val="24"/>
        </w:rPr>
      </w:pPr>
      <w:r>
        <w:rPr>
          <w:rFonts w:ascii="Arial" w:hAnsi="Arial" w:cs="Arial"/>
          <w:b/>
          <w:sz w:val="22"/>
          <w:szCs w:val="24"/>
        </w:rPr>
        <w:t>Ambang Deteksi Rasa Umami</w:t>
      </w:r>
    </w:p>
    <w:p>
      <w:pPr>
        <w:spacing w:line="360" w:lineRule="auto"/>
        <w:ind w:firstLine="0"/>
        <w:rPr>
          <w:rFonts w:ascii="Arial" w:hAnsi="Arial" w:cs="Arial"/>
          <w:sz w:val="22"/>
          <w:szCs w:val="24"/>
        </w:rPr>
      </w:pPr>
    </w:p>
    <w:p>
      <w:pPr>
        <w:spacing w:line="360" w:lineRule="auto"/>
        <w:rPr>
          <w:rFonts w:ascii="Arial" w:hAnsi="Arial" w:cs="Arial"/>
          <w:color w:val="000000"/>
          <w:sz w:val="22"/>
          <w:szCs w:val="24"/>
          <w:shd w:val="clear" w:color="auto" w:fill="FFFFFF"/>
        </w:rPr>
      </w:pPr>
      <w:r>
        <w:rPr>
          <w:rFonts w:ascii="Arial" w:hAnsi="Arial" w:cs="Arial"/>
          <w:color w:val="000000"/>
          <w:sz w:val="22"/>
          <w:szCs w:val="24"/>
          <w:shd w:val="clear" w:color="auto" w:fill="FFFFFF"/>
        </w:rPr>
        <w:t xml:space="preserve">Ambang deteksi adalah konsentrasi terendah zat dalam media yang berkaitan dengan intensitas fisik terendah dimana stimulus dapat dideteksi (ASTM 2011). Dalam penelitian ini, ambang deteksi rasa umami didefinisikan sebagai konsentrasi MSG terendah yang mulai dapat dideteksi perbedaanya dengan larutan dasarnya. Dalam </w:t>
      </w:r>
      <w:r>
        <w:rPr>
          <w:rFonts w:ascii="Arial" w:hAnsi="Arial" w:cs="Arial"/>
          <w:color w:val="000000"/>
          <w:sz w:val="22"/>
          <w:szCs w:val="24"/>
          <w:shd w:val="clear" w:color="auto" w:fill="FFFFFF"/>
        </w:rPr>
        <w:lastRenderedPageBreak/>
        <w:t xml:space="preserve">hal ini larutan dasar yang digunakan adalah larutan garam dengan konsentrasi 0.30 g NaCl/100 g.mL dan 0.42 g NaCl/100 g/mL. </w:t>
      </w:r>
      <w:r>
        <w:rPr>
          <w:rFonts w:ascii="Arial" w:hAnsi="Arial" w:cs="Arial"/>
          <w:sz w:val="22"/>
          <w:szCs w:val="24"/>
        </w:rPr>
        <w:t xml:space="preserve">Ambang deteksi umumnya ditentukan dengan </w:t>
      </w:r>
      <w:r>
        <w:rPr>
          <w:rFonts w:ascii="Arial" w:hAnsi="Arial" w:cs="Arial"/>
          <w:color w:val="000000"/>
          <w:sz w:val="22"/>
          <w:szCs w:val="24"/>
          <w:shd w:val="clear" w:color="auto" w:fill="FFFFFF"/>
        </w:rPr>
        <w:t>metode standar yang digunakan untuk penentuan ambang sensori yaitu teknik 3-AFC (</w:t>
      </w:r>
      <w:r>
        <w:rPr>
          <w:rFonts w:ascii="Arial" w:hAnsi="Arial" w:cs="Arial"/>
          <w:i/>
          <w:color w:val="000000"/>
          <w:sz w:val="22"/>
          <w:szCs w:val="24"/>
          <w:shd w:val="clear" w:color="auto" w:fill="FFFFFF"/>
        </w:rPr>
        <w:t>three alternative forced choice</w:t>
      </w:r>
      <w:r>
        <w:rPr>
          <w:rFonts w:ascii="Arial" w:hAnsi="Arial" w:cs="Arial"/>
          <w:color w:val="000000"/>
          <w:sz w:val="22"/>
          <w:szCs w:val="24"/>
          <w:shd w:val="clear" w:color="auto" w:fill="FFFFFF"/>
        </w:rPr>
        <w:t xml:space="preserve">) </w:t>
      </w:r>
      <w:r>
        <w:rPr>
          <w:rFonts w:ascii="Arial" w:hAnsi="Arial" w:cs="Arial"/>
          <w:i/>
          <w:iCs/>
          <w:color w:val="000000"/>
          <w:sz w:val="22"/>
          <w:szCs w:val="24"/>
          <w:shd w:val="clear" w:color="auto" w:fill="FFFFFF"/>
        </w:rPr>
        <w:t>ascending method of limit</w:t>
      </w:r>
      <w:r>
        <w:rPr>
          <w:rFonts w:ascii="Arial" w:hAnsi="Arial" w:cs="Arial"/>
          <w:color w:val="000000"/>
          <w:sz w:val="22"/>
          <w:szCs w:val="24"/>
          <w:shd w:val="clear" w:color="auto" w:fill="FFFFFF"/>
        </w:rPr>
        <w:t xml:space="preserve"> yang mengacu pada metode standar </w:t>
      </w:r>
      <w:r>
        <w:rPr>
          <w:rFonts w:ascii="Arial" w:hAnsi="Arial" w:cs="Arial"/>
          <w:i/>
          <w:color w:val="000000"/>
          <w:sz w:val="22"/>
          <w:szCs w:val="24"/>
          <w:shd w:val="clear" w:color="auto" w:fill="FFFFFF"/>
        </w:rPr>
        <w:t>American Society for Testing and Material</w:t>
      </w:r>
      <w:r>
        <w:rPr>
          <w:rFonts w:ascii="Arial" w:hAnsi="Arial" w:cs="Arial"/>
          <w:color w:val="000000"/>
          <w:sz w:val="22"/>
          <w:szCs w:val="24"/>
          <w:shd w:val="clear" w:color="auto" w:fill="FFFFFF"/>
        </w:rPr>
        <w:t>, ASTM 2011 (</w:t>
      </w:r>
      <w:r>
        <w:rPr>
          <w:rFonts w:ascii="Arial" w:hAnsi="Arial" w:cs="Arial"/>
          <w:sz w:val="22"/>
          <w:szCs w:val="24"/>
        </w:rPr>
        <w:t>ASTM E679 2004; ASTM E1432 2004). M</w:t>
      </w:r>
      <w:r>
        <w:rPr>
          <w:rFonts w:ascii="Arial" w:hAnsi="Arial" w:cs="Arial"/>
          <w:sz w:val="22"/>
          <w:szCs w:val="24"/>
          <w:lang w:val="id-ID"/>
        </w:rPr>
        <w:t>etode alternatif yang juga dapat menentukan ambang deteksi suatu stimulus rasa</w:t>
      </w:r>
      <w:r>
        <w:rPr>
          <w:rFonts w:ascii="Arial" w:hAnsi="Arial" w:cs="Arial"/>
          <w:sz w:val="22"/>
          <w:szCs w:val="24"/>
        </w:rPr>
        <w:t xml:space="preserve"> selain 3-AFC adalah</w:t>
      </w:r>
      <w:r>
        <w:rPr>
          <w:rFonts w:ascii="Arial" w:hAnsi="Arial" w:cs="Arial"/>
          <w:sz w:val="22"/>
          <w:szCs w:val="24"/>
          <w:lang w:val="id-ID"/>
        </w:rPr>
        <w:t xml:space="preserve"> R-</w:t>
      </w:r>
      <w:r>
        <w:rPr>
          <w:rFonts w:ascii="Arial" w:hAnsi="Arial" w:cs="Arial"/>
          <w:sz w:val="22"/>
          <w:szCs w:val="24"/>
        </w:rPr>
        <w:t>i</w:t>
      </w:r>
      <w:r>
        <w:rPr>
          <w:rFonts w:ascii="Arial" w:hAnsi="Arial" w:cs="Arial"/>
          <w:sz w:val="22"/>
          <w:szCs w:val="24"/>
          <w:lang w:val="id-ID"/>
        </w:rPr>
        <w:t>nde</w:t>
      </w:r>
      <w:r>
        <w:rPr>
          <w:rFonts w:ascii="Arial" w:hAnsi="Arial" w:cs="Arial"/>
          <w:sz w:val="22"/>
          <w:szCs w:val="24"/>
        </w:rPr>
        <w:t>x</w:t>
      </w:r>
      <w:r>
        <w:rPr>
          <w:rFonts w:ascii="Arial" w:hAnsi="Arial" w:cs="Arial"/>
          <w:sz w:val="22"/>
          <w:szCs w:val="24"/>
          <w:lang w:val="id-ID"/>
        </w:rPr>
        <w:t xml:space="preserve">. </w:t>
      </w:r>
      <w:r>
        <w:rPr>
          <w:rFonts w:ascii="Arial" w:hAnsi="Arial" w:cs="Arial"/>
          <w:sz w:val="22"/>
          <w:szCs w:val="24"/>
        </w:rPr>
        <w:t xml:space="preserve">Metode R-index merupakan teknik data analisis yang memperhitungkan adanya index diskriminasi untuk membedakan seberapa besar perbedaan antar dua sampel (Kemp </w:t>
      </w:r>
      <w:r>
        <w:rPr>
          <w:rFonts w:ascii="Arial" w:hAnsi="Arial" w:cs="Arial"/>
          <w:i/>
          <w:sz w:val="22"/>
          <w:szCs w:val="24"/>
        </w:rPr>
        <w:t xml:space="preserve">et al. </w:t>
      </w:r>
      <w:r>
        <w:rPr>
          <w:rFonts w:ascii="Arial" w:hAnsi="Arial" w:cs="Arial"/>
          <w:sz w:val="22"/>
          <w:szCs w:val="24"/>
        </w:rPr>
        <w:t xml:space="preserve">2009). Adawiyah </w:t>
      </w:r>
      <w:r>
        <w:rPr>
          <w:rFonts w:ascii="Arial" w:hAnsi="Arial" w:cs="Arial"/>
          <w:i/>
          <w:sz w:val="22"/>
          <w:szCs w:val="24"/>
        </w:rPr>
        <w:t>et al.</w:t>
      </w:r>
      <w:r>
        <w:rPr>
          <w:rFonts w:ascii="Arial" w:hAnsi="Arial" w:cs="Arial"/>
          <w:sz w:val="22"/>
          <w:szCs w:val="24"/>
        </w:rPr>
        <w:t xml:space="preserve"> (2015) melakukan pengujian ambang deteksi rasa umami menggunakan metode 3-AFC dan R-index. Penentuan dengan metode 3-AFC dan R-index masing-masing adalah 0.0116 dan 0.0101 g MSG/100 mL dalam pelarut air. Metode R-index dapat dijadikan sebagai metode alternatif dalam menentukan ambang deteksi karena memberikan hasil yang tidak berbeda nyata.</w:t>
      </w:r>
    </w:p>
    <w:p>
      <w:pPr>
        <w:spacing w:line="360" w:lineRule="auto"/>
        <w:rPr>
          <w:rFonts w:ascii="Arial" w:hAnsi="Arial" w:cs="Arial"/>
          <w:sz w:val="22"/>
          <w:szCs w:val="24"/>
        </w:rPr>
      </w:pPr>
      <w:r>
        <w:rPr>
          <w:rFonts w:ascii="Arial" w:hAnsi="Arial" w:cs="Arial"/>
          <w:sz w:val="22"/>
          <w:szCs w:val="24"/>
        </w:rPr>
        <w:t xml:space="preserve">Umumnya, dalam pengujian ambang deteksi, signal yang digunakan lebih dari satu jenis. Pada uji ini digunakan enam konsentrasi </w:t>
      </w:r>
      <w:r>
        <w:rPr>
          <w:rFonts w:ascii="Arial" w:hAnsi="Arial" w:cs="Arial"/>
          <w:i/>
          <w:sz w:val="22"/>
          <w:szCs w:val="24"/>
        </w:rPr>
        <w:t xml:space="preserve">signal </w:t>
      </w:r>
      <w:r>
        <w:rPr>
          <w:rFonts w:ascii="Arial" w:hAnsi="Arial" w:cs="Arial"/>
          <w:sz w:val="22"/>
          <w:szCs w:val="24"/>
        </w:rPr>
        <w:t xml:space="preserve">yaitu 0.01 g MSG/100 mL, 0.02 MSG/100 mL, 0.04 MSG/100 mL, 0.08 MSG/100 mL, 0.16 MSG/100 mL, dan 0.32 g/100 mL dalam pelarut garam. Nilai R-index yang diperoleh kemudian dibandingkan dengan nilai kritis yang diperoleh dari tabel R-index. Jika nilai R-index lebih besar dari nilai kritis, maka artinya </w:t>
      </w:r>
      <w:r>
        <w:rPr>
          <w:rFonts w:ascii="Arial" w:hAnsi="Arial" w:cs="Arial"/>
          <w:i/>
          <w:sz w:val="22"/>
          <w:szCs w:val="24"/>
        </w:rPr>
        <w:t>signal</w:t>
      </w:r>
      <w:r>
        <w:rPr>
          <w:rFonts w:ascii="Arial" w:hAnsi="Arial" w:cs="Arial"/>
          <w:sz w:val="22"/>
          <w:szCs w:val="24"/>
        </w:rPr>
        <w:t xml:space="preserve"> (sampel uji) dapat dibedakan secara signifikan dengan </w:t>
      </w:r>
      <w:r>
        <w:rPr>
          <w:rFonts w:ascii="Arial" w:hAnsi="Arial" w:cs="Arial"/>
          <w:i/>
          <w:sz w:val="22"/>
          <w:szCs w:val="24"/>
        </w:rPr>
        <w:t>noise</w:t>
      </w:r>
      <w:r>
        <w:rPr>
          <w:rFonts w:ascii="Arial" w:hAnsi="Arial" w:cs="Arial"/>
          <w:sz w:val="22"/>
          <w:szCs w:val="24"/>
        </w:rPr>
        <w:t xml:space="preserve"> (referen atau larutan dasar). Gambar 4 menunjukkan hasil dari nilai R-index untuk enam konsentrasi MSG. </w:t>
      </w:r>
    </w:p>
    <w:p>
      <w:pPr>
        <w:spacing w:line="360" w:lineRule="auto"/>
        <w:rPr>
          <w:rFonts w:ascii="Arial" w:hAnsi="Arial" w:cs="Arial"/>
          <w:sz w:val="22"/>
          <w:szCs w:val="24"/>
        </w:rPr>
      </w:pPr>
      <w:bookmarkStart w:id="46" w:name="_Toc330964718"/>
      <w:r>
        <w:rPr>
          <w:rFonts w:ascii="Arial" w:hAnsi="Arial" w:cs="Arial"/>
          <w:sz w:val="22"/>
          <w:szCs w:val="24"/>
        </w:rPr>
        <w:t xml:space="preserve">Nilai kritis yang diperoleh dari tabel R-index untuk jumlah panelis 30 orang dan α= 0.05 adalah 13.99%. Sampel dikatakan signifikan berbeda dengan referen jika %R-index pada nilai kritis 50% lebih besar dari 63.99%. Hal ini menunjukkan bahwa panelis dapat membedakan sampel pada konsentrasi terendah dengan referen. </w:t>
      </w:r>
      <w:r>
        <w:rPr>
          <w:rFonts w:ascii="Arial" w:hAnsi="Arial" w:cs="Arial"/>
          <w:sz w:val="22"/>
          <w:szCs w:val="24"/>
          <w:lang/>
        </w:rPr>
        <w:t xml:space="preserve">Nilai ambang deteksi dengan metode R-index pada konsentrasi garam 0.30 </w:t>
      </w:r>
      <w:r>
        <w:rPr>
          <w:rFonts w:ascii="Arial" w:hAnsi="Arial" w:cs="Arial"/>
          <w:sz w:val="22"/>
          <w:szCs w:val="24"/>
        </w:rPr>
        <w:t>g/100 mL</w:t>
      </w:r>
      <w:r>
        <w:rPr>
          <w:rFonts w:ascii="Arial" w:hAnsi="Arial" w:cs="Arial"/>
          <w:sz w:val="22"/>
          <w:szCs w:val="24"/>
          <w:lang/>
        </w:rPr>
        <w:t xml:space="preserve"> adalah 0.05 g MSG</w:t>
      </w:r>
      <w:r>
        <w:rPr>
          <w:rFonts w:ascii="Arial" w:hAnsi="Arial" w:cs="Arial"/>
          <w:sz w:val="22"/>
          <w:szCs w:val="24"/>
        </w:rPr>
        <w:t>/100 mL</w:t>
      </w:r>
      <w:r>
        <w:rPr>
          <w:rFonts w:ascii="Arial" w:hAnsi="Arial" w:cs="Arial"/>
          <w:sz w:val="22"/>
          <w:szCs w:val="24"/>
          <w:lang/>
        </w:rPr>
        <w:t xml:space="preserve">, sedangkan nilai R-index pada konsentrasi garam 0.42 </w:t>
      </w:r>
      <w:r>
        <w:rPr>
          <w:rFonts w:ascii="Arial" w:hAnsi="Arial" w:cs="Arial"/>
          <w:sz w:val="22"/>
          <w:szCs w:val="24"/>
        </w:rPr>
        <w:t>g/100 mL</w:t>
      </w:r>
      <w:r>
        <w:rPr>
          <w:rFonts w:ascii="Arial" w:hAnsi="Arial" w:cs="Arial"/>
          <w:sz w:val="22"/>
          <w:szCs w:val="24"/>
          <w:lang/>
        </w:rPr>
        <w:t xml:space="preserve"> adalah 0.01 </w:t>
      </w:r>
      <w:r>
        <w:rPr>
          <w:rFonts w:ascii="Arial" w:hAnsi="Arial" w:cs="Arial"/>
          <w:sz w:val="22"/>
          <w:szCs w:val="24"/>
        </w:rPr>
        <w:t>g MSG/100 mL (Tabel 5)</w:t>
      </w:r>
      <w:r>
        <w:rPr>
          <w:rFonts w:ascii="Arial" w:hAnsi="Arial" w:cs="Arial"/>
          <w:sz w:val="22"/>
          <w:szCs w:val="24"/>
          <w:lang/>
        </w:rPr>
        <w:t>. Nilai tersebut diperoleh dengan melakukan interpolasi linear</w:t>
      </w:r>
      <w:r>
        <w:rPr>
          <w:rFonts w:ascii="Arial" w:hAnsi="Arial" w:cs="Arial"/>
          <w:sz w:val="22"/>
          <w:szCs w:val="24"/>
        </w:rPr>
        <w:t xml:space="preserve"> untuk mendapatkan nilai konsentrasi MSG pada saat nilai R-indeks 63.99%. Metode R-index memiliki berbagai keunggulan dan lebih mudah dalam preparasi sampel dibandingkan dengan metode ASTM 3-AFC. Metode ini dapat mengurangi kejenuhan panelis, lebih efisien dalam penyajian sampel, dan mengurangi biaya pengujian. Informasi ambang deteksi tersebut dapat digunakan untuk menentukan formulasi minimum dalam menghasilkan rasa gurih tanpa menambahkan MSG secara berlebihan.</w:t>
      </w:r>
    </w:p>
    <w:p>
      <w:pPr>
        <w:spacing w:line="360" w:lineRule="auto"/>
        <w:rPr>
          <w:rFonts w:ascii="Arial" w:hAnsi="Arial" w:cs="Arial"/>
          <w:sz w:val="22"/>
          <w:szCs w:val="24"/>
        </w:rPr>
      </w:pPr>
      <w:r>
        <w:rPr>
          <w:rFonts w:ascii="Arial" w:hAnsi="Arial" w:cs="Arial"/>
          <w:sz w:val="22"/>
          <w:szCs w:val="24"/>
        </w:rPr>
        <w:lastRenderedPageBreak/>
        <w:t>Dari data pada Tabel 5. yang diperoleh dapat dilihat bahwa pada konsentrasi garam yang lebih tinggi, maka ambang deteksi umami menjadi semakin kecil. Hal ini sejalan dengan nilai ambang preferensi yang menunjukkan kecenderungan yang sama. Dengan meningkatkan jumlah garam maka konsentrasi MSG untuk menghasilkan rasa umami menjadi lebih kecil. Demikian juga sebaliknya, jika jumlah garam diturunkan maka diperlukan jumlah jumlah MSG yang lebih banyak untuk dideteksi dan disukai oleh panelis.</w:t>
      </w:r>
    </w:p>
    <w:p>
      <w:pPr>
        <w:spacing w:line="360" w:lineRule="auto"/>
        <w:rPr>
          <w:rFonts w:ascii="Arial" w:hAnsi="Arial" w:cs="Arial"/>
          <w:sz w:val="22"/>
          <w:szCs w:val="24"/>
        </w:rPr>
      </w:pPr>
    </w:p>
    <w:p>
      <w:pPr>
        <w:pStyle w:val="Heading1"/>
        <w:spacing w:line="360" w:lineRule="auto"/>
        <w:rPr>
          <w:rFonts w:ascii="Arial" w:hAnsi="Arial" w:cs="Arial"/>
          <w:sz w:val="22"/>
          <w:szCs w:val="24"/>
        </w:rPr>
      </w:pPr>
      <w:bookmarkStart w:id="47" w:name="_Toc468430119"/>
      <w:commentRangeStart w:id="48"/>
      <w:r>
        <w:rPr>
          <w:rFonts w:ascii="Arial" w:hAnsi="Arial" w:cs="Arial"/>
          <w:sz w:val="22"/>
          <w:szCs w:val="24"/>
        </w:rPr>
        <w:t>SIMPULAN</w:t>
      </w:r>
      <w:commentRangeEnd w:id="48"/>
      <w:r>
        <w:rPr>
          <w:rStyle w:val="CommentReference"/>
          <w:rFonts w:eastAsiaTheme="minorEastAsia" w:cstheme="minorBidi"/>
          <w:b w:val="0"/>
          <w:bCs w:val="0"/>
        </w:rPr>
        <w:commentReference w:id="48"/>
      </w:r>
      <w:r>
        <w:rPr>
          <w:rFonts w:ascii="Arial" w:hAnsi="Arial" w:cs="Arial"/>
          <w:sz w:val="22"/>
          <w:szCs w:val="24"/>
        </w:rPr>
        <w:t xml:space="preserve"> </w:t>
      </w:r>
      <w:commentRangeStart w:id="49"/>
      <w:r>
        <w:rPr>
          <w:rFonts w:ascii="Arial" w:hAnsi="Arial" w:cs="Arial"/>
          <w:sz w:val="22"/>
          <w:szCs w:val="24"/>
        </w:rPr>
        <w:t>DAN SARAN</w:t>
      </w:r>
      <w:bookmarkEnd w:id="47"/>
      <w:commentRangeEnd w:id="49"/>
      <w:r>
        <w:rPr>
          <w:rStyle w:val="CommentReference"/>
          <w:rFonts w:eastAsiaTheme="minorEastAsia" w:cstheme="minorBidi"/>
          <w:b w:val="0"/>
          <w:bCs w:val="0"/>
        </w:rPr>
        <w:commentReference w:id="49"/>
      </w:r>
    </w:p>
    <w:p>
      <w:pPr>
        <w:pStyle w:val="Heading2"/>
        <w:spacing w:after="120" w:line="360" w:lineRule="auto"/>
        <w:rPr>
          <w:rFonts w:ascii="Arial" w:hAnsi="Arial" w:cs="Arial"/>
          <w:sz w:val="22"/>
          <w:szCs w:val="24"/>
        </w:rPr>
      </w:pPr>
      <w:bookmarkStart w:id="50" w:name="_Toc468430120"/>
      <w:r>
        <w:rPr>
          <w:rFonts w:ascii="Arial" w:hAnsi="Arial" w:cs="Arial"/>
          <w:sz w:val="22"/>
          <w:szCs w:val="24"/>
        </w:rPr>
        <w:t>Simpulan</w:t>
      </w:r>
      <w:bookmarkEnd w:id="50"/>
    </w:p>
    <w:p>
      <w:pPr>
        <w:spacing w:line="360" w:lineRule="auto"/>
        <w:rPr>
          <w:rFonts w:ascii="Arial" w:hAnsi="Arial" w:cs="Arial"/>
          <w:sz w:val="22"/>
          <w:szCs w:val="24"/>
        </w:rPr>
      </w:pPr>
      <w:r>
        <w:rPr>
          <w:rFonts w:ascii="Arial" w:hAnsi="Arial" w:cs="Arial"/>
          <w:sz w:val="22"/>
          <w:szCs w:val="24"/>
        </w:rPr>
        <w:t xml:space="preserve">Ambang preferesi dan ambang deteksi rasa umami dari MSG sangat ditentukan oleh konsentrasi garam yang digunakan sebagai larutan dasar. Nilai ambang preferensi berdasarkan model Fechner </w:t>
      </w:r>
      <w:r>
        <w:rPr>
          <w:rFonts w:ascii="Arial" w:hAnsi="Arial" w:cs="Arial"/>
          <w:sz w:val="22"/>
          <w:szCs w:val="24"/>
          <w:lang/>
        </w:rPr>
        <w:t xml:space="preserve">pada konsentrasi garam 0.30 </w:t>
      </w:r>
      <w:r>
        <w:rPr>
          <w:rFonts w:ascii="Arial" w:hAnsi="Arial" w:cs="Arial"/>
          <w:sz w:val="22"/>
          <w:szCs w:val="24"/>
        </w:rPr>
        <w:t>g/100 mL</w:t>
      </w:r>
      <w:r>
        <w:rPr>
          <w:rFonts w:ascii="Arial" w:hAnsi="Arial" w:cs="Arial"/>
          <w:sz w:val="22"/>
          <w:szCs w:val="24"/>
          <w:lang/>
        </w:rPr>
        <w:t xml:space="preserve"> adalah 0.25 </w:t>
      </w:r>
      <w:r>
        <w:rPr>
          <w:rFonts w:ascii="Arial" w:hAnsi="Arial" w:cs="Arial"/>
          <w:sz w:val="22"/>
          <w:szCs w:val="24"/>
        </w:rPr>
        <w:t>g MSG/100 mL</w:t>
      </w:r>
      <w:r>
        <w:rPr>
          <w:rFonts w:ascii="Arial" w:hAnsi="Arial" w:cs="Arial"/>
          <w:sz w:val="22"/>
          <w:szCs w:val="24"/>
          <w:lang/>
        </w:rPr>
        <w:t xml:space="preserve">, sedangkan pada konsentrasi garam 0.42 </w:t>
      </w:r>
      <w:r>
        <w:rPr>
          <w:rFonts w:ascii="Arial" w:hAnsi="Arial" w:cs="Arial"/>
          <w:sz w:val="22"/>
          <w:szCs w:val="24"/>
        </w:rPr>
        <w:t>g/100 mL</w:t>
      </w:r>
      <w:r>
        <w:rPr>
          <w:rFonts w:ascii="Arial" w:hAnsi="Arial" w:cs="Arial"/>
          <w:sz w:val="22"/>
          <w:szCs w:val="24"/>
          <w:lang/>
        </w:rPr>
        <w:t xml:space="preserve"> adalah 0.06 </w:t>
      </w:r>
      <w:r>
        <w:rPr>
          <w:rFonts w:ascii="Arial" w:hAnsi="Arial" w:cs="Arial"/>
          <w:sz w:val="22"/>
          <w:szCs w:val="24"/>
        </w:rPr>
        <w:t>g MSG/100 mL</w:t>
      </w:r>
      <w:r>
        <w:rPr>
          <w:rFonts w:ascii="Arial" w:hAnsi="Arial" w:cs="Arial"/>
          <w:sz w:val="22"/>
          <w:szCs w:val="24"/>
          <w:lang/>
        </w:rPr>
        <w:t>.</w:t>
      </w:r>
      <w:r>
        <w:rPr>
          <w:rFonts w:ascii="Arial" w:hAnsi="Arial" w:cs="Arial"/>
          <w:sz w:val="22"/>
          <w:szCs w:val="24"/>
        </w:rPr>
        <w:t xml:space="preserve"> Ambang deteksi rasa umami menggunakan larutan garam dan MSG sebagai sampel. </w:t>
      </w:r>
      <w:r>
        <w:rPr>
          <w:rFonts w:ascii="Arial" w:hAnsi="Arial" w:cs="Arial"/>
          <w:sz w:val="22"/>
          <w:szCs w:val="24"/>
          <w:lang/>
        </w:rPr>
        <w:t xml:space="preserve">Nilai ambang deteksi dengan metode R-Index pada konsentrasi garam 0.30 </w:t>
      </w:r>
      <w:r>
        <w:rPr>
          <w:rFonts w:ascii="Arial" w:hAnsi="Arial" w:cs="Arial"/>
          <w:sz w:val="22"/>
          <w:szCs w:val="24"/>
        </w:rPr>
        <w:t>g/100 mL</w:t>
      </w:r>
      <w:r>
        <w:rPr>
          <w:rFonts w:ascii="Arial" w:hAnsi="Arial" w:cs="Arial"/>
          <w:sz w:val="22"/>
          <w:szCs w:val="24"/>
          <w:lang/>
        </w:rPr>
        <w:t xml:space="preserve"> yaitu 0.05 </w:t>
      </w:r>
      <w:r>
        <w:rPr>
          <w:rFonts w:ascii="Arial" w:hAnsi="Arial" w:cs="Arial"/>
          <w:sz w:val="22"/>
          <w:szCs w:val="24"/>
        </w:rPr>
        <w:t>g MSG/100 mL larutan garam</w:t>
      </w:r>
      <w:r>
        <w:rPr>
          <w:rFonts w:ascii="Arial" w:hAnsi="Arial" w:cs="Arial"/>
          <w:sz w:val="22"/>
          <w:szCs w:val="24"/>
          <w:lang/>
        </w:rPr>
        <w:t xml:space="preserve">, sedangkan nilai R-Index pada konsentrasi garam 0.42 </w:t>
      </w:r>
      <w:r>
        <w:rPr>
          <w:rFonts w:ascii="Arial" w:hAnsi="Arial" w:cs="Arial"/>
          <w:sz w:val="22"/>
          <w:szCs w:val="24"/>
        </w:rPr>
        <w:t>g/100 mL</w:t>
      </w:r>
      <w:r>
        <w:rPr>
          <w:rFonts w:ascii="Arial" w:hAnsi="Arial" w:cs="Arial"/>
          <w:sz w:val="22"/>
          <w:szCs w:val="24"/>
          <w:lang/>
        </w:rPr>
        <w:t xml:space="preserve"> yaitu 0.01 </w:t>
      </w:r>
      <w:r>
        <w:rPr>
          <w:rFonts w:ascii="Arial" w:hAnsi="Arial" w:cs="Arial"/>
          <w:sz w:val="22"/>
          <w:szCs w:val="24"/>
        </w:rPr>
        <w:t>g MSG/100 mL larutan garam. Perbedaan konsentrasi garam menyebabkan perbedaan nilai ambang preferensi dan ambang deteksi rasa umami dari MSG. Peningkatan jumlah garam dapat menurunkan konsentrasi MSG untuk dideteksi dan mulai disukai oleh panelis.</w:t>
      </w:r>
    </w:p>
    <w:p>
      <w:pPr>
        <w:spacing w:line="360" w:lineRule="auto"/>
        <w:rPr>
          <w:rFonts w:ascii="Arial" w:hAnsi="Arial" w:cs="Arial"/>
          <w:sz w:val="22"/>
          <w:szCs w:val="24"/>
        </w:rPr>
      </w:pPr>
    </w:p>
    <w:p>
      <w:pPr>
        <w:spacing w:line="360" w:lineRule="auto"/>
        <w:ind w:firstLine="0"/>
        <w:rPr>
          <w:rFonts w:ascii="Arial" w:hAnsi="Arial" w:cs="Arial"/>
          <w:sz w:val="22"/>
          <w:szCs w:val="24"/>
        </w:rPr>
      </w:pPr>
      <w:bookmarkStart w:id="51" w:name="_Toc454451165"/>
      <w:bookmarkStart w:id="52" w:name="_Toc468430122"/>
    </w:p>
    <w:p>
      <w:pPr>
        <w:pStyle w:val="Heading1"/>
        <w:spacing w:after="240" w:line="360" w:lineRule="auto"/>
        <w:rPr>
          <w:rFonts w:ascii="Arial" w:hAnsi="Arial" w:cs="Arial"/>
          <w:color w:val="0000FF" w:themeColor="hyperlink"/>
          <w:sz w:val="22"/>
          <w:szCs w:val="24"/>
          <w:u w:val="single"/>
        </w:rPr>
      </w:pPr>
      <w:commentRangeStart w:id="53"/>
      <w:r>
        <w:rPr>
          <w:rFonts w:ascii="Arial" w:hAnsi="Arial" w:cs="Arial"/>
          <w:sz w:val="22"/>
          <w:szCs w:val="24"/>
        </w:rPr>
        <w:t>DAFTAR PUSTAKA</w:t>
      </w:r>
      <w:bookmarkEnd w:id="46"/>
      <w:bookmarkEnd w:id="51"/>
      <w:bookmarkEnd w:id="52"/>
      <w:commentRangeEnd w:id="53"/>
      <w:r>
        <w:rPr>
          <w:rStyle w:val="CommentReference"/>
          <w:rFonts w:eastAsiaTheme="minorEastAsia" w:cstheme="minorBidi"/>
          <w:b w:val="0"/>
          <w:bCs w:val="0"/>
        </w:rPr>
        <w:commentReference w:id="53"/>
      </w:r>
    </w:p>
    <w:p>
      <w:pPr>
        <w:pStyle w:val="ListParagraph"/>
        <w:spacing w:line="360" w:lineRule="auto"/>
        <w:ind w:hanging="720"/>
        <w:rPr>
          <w:rFonts w:ascii="Arial" w:hAnsi="Arial" w:cs="Arial"/>
          <w:sz w:val="22"/>
          <w:szCs w:val="24"/>
        </w:rPr>
      </w:pPr>
      <w:r>
        <w:rPr>
          <w:rFonts w:ascii="Arial" w:hAnsi="Arial" w:cs="Arial"/>
          <w:sz w:val="22"/>
          <w:szCs w:val="24"/>
        </w:rPr>
        <w:t xml:space="preserve">[ASTM] American Society of Testing and Materials (US). </w:t>
      </w:r>
      <w:r>
        <w:rPr>
          <w:rFonts w:ascii="Arial" w:hAnsi="Arial" w:cs="Arial"/>
          <w:sz w:val="22"/>
          <w:szCs w:val="24"/>
          <w:highlight w:val="yellow"/>
        </w:rPr>
        <w:t>2011</w:t>
      </w:r>
      <w:r>
        <w:rPr>
          <w:rFonts w:ascii="Arial" w:hAnsi="Arial" w:cs="Arial"/>
          <w:sz w:val="22"/>
          <w:szCs w:val="24"/>
        </w:rPr>
        <w:t>.  ASTM E679-04: Standard  Practice  for  Determination  of  Odor  and  Taste  Thresholds  by  a Forced-choice  Ascending  Concentration  Series  Method  of  Limit.  West Conshohocken (US): ASTM International. doi:10.1520/E0679-04R11.</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[BPOM] Badan Pengawas Obat dan Makanan RI. 2013. Peraturan Kepala Badan Pengawas Obat dan Makanan Republik Indonesia No. 13 Tahun 2013 tentang Batas Maksimum Penggunaan Bahan Tambahan Pangan Penguat Rasa. Jakarta (ID): BPOM.</w:t>
      </w:r>
    </w:p>
    <w:p>
      <w:pPr>
        <w:pStyle w:val="ListParagraph"/>
        <w:spacing w:line="360" w:lineRule="auto"/>
        <w:ind w:hanging="720"/>
        <w:rPr>
          <w:rFonts w:ascii="Arial" w:hAnsi="Arial" w:cs="Arial"/>
          <w:color w:val="000000" w:themeColor="text1"/>
          <w:sz w:val="22"/>
          <w:szCs w:val="24"/>
        </w:rPr>
      </w:pPr>
      <w:r>
        <w:rPr>
          <w:rFonts w:ascii="Arial" w:hAnsi="Arial" w:cs="Arial"/>
          <w:sz w:val="22"/>
          <w:szCs w:val="24"/>
        </w:rPr>
        <w:t>[Kemenkes] Kementerian Kesehatan RI. 2007. Riset Kesehatan Dasar [internet]. [diunduh 2016 September 20]. Tersedia pada: http://www.depkes.go.id.</w:t>
      </w:r>
    </w:p>
    <w:p>
      <w:pPr>
        <w:pStyle w:val="ListParagraph"/>
        <w:spacing w:line="360" w:lineRule="auto"/>
        <w:ind w:hanging="720"/>
        <w:rPr>
          <w:rFonts w:ascii="Arial" w:hAnsi="Arial" w:cs="Arial"/>
          <w:sz w:val="22"/>
          <w:szCs w:val="24"/>
        </w:rPr>
      </w:pPr>
      <w:r>
        <w:rPr>
          <w:rFonts w:ascii="Arial" w:hAnsi="Arial" w:cs="Arial"/>
          <w:color w:val="000000" w:themeColor="text1"/>
          <w:sz w:val="22"/>
          <w:szCs w:val="24"/>
        </w:rPr>
        <w:lastRenderedPageBreak/>
        <w:t xml:space="preserve">[USP] United States Pharmacopeia. 2007. NF Monographs: Monosodium Glutamate </w:t>
      </w:r>
      <w:r>
        <w:rPr>
          <w:rFonts w:ascii="Arial" w:hAnsi="Arial" w:cs="Arial"/>
          <w:i/>
          <w:iCs/>
          <w:color w:val="000000" w:themeColor="text1"/>
          <w:sz w:val="22"/>
          <w:szCs w:val="24"/>
        </w:rPr>
        <w:t>USP29–NF24</w:t>
      </w:r>
      <w:r>
        <w:rPr>
          <w:rFonts w:ascii="Arial" w:hAnsi="Arial" w:cs="Arial"/>
          <w:iCs/>
          <w:color w:val="000000" w:themeColor="text1"/>
          <w:sz w:val="22"/>
          <w:szCs w:val="24"/>
        </w:rPr>
        <w:t>. Rockville (US): United States Pharmacopeia.</w:t>
      </w:r>
    </w:p>
    <w:p>
      <w:pPr>
        <w:pStyle w:val="ListParagraph"/>
        <w:spacing w:line="360" w:lineRule="auto"/>
        <w:ind w:hanging="720"/>
        <w:rPr>
          <w:rFonts w:ascii="Arial" w:hAnsi="Arial" w:cs="Arial"/>
          <w:sz w:val="22"/>
          <w:szCs w:val="24"/>
        </w:rPr>
      </w:pPr>
      <w:r>
        <w:rPr>
          <w:rFonts w:ascii="Arial" w:hAnsi="Arial" w:cs="Arial"/>
          <w:sz w:val="22"/>
          <w:szCs w:val="24"/>
        </w:rPr>
        <w:t>Adawiyah DR, Nurtama B, Meutia, Ismah N. 2015. Ambang deteksi dan interaksi biner rasa umami [laporan penelitian]. Bogor (ID): Institut Pertanian Bogor.</w:t>
      </w:r>
    </w:p>
    <w:p>
      <w:pPr>
        <w:pStyle w:val="ListParagraph"/>
        <w:spacing w:line="360" w:lineRule="auto"/>
        <w:ind w:hanging="720"/>
        <w:rPr>
          <w:rStyle w:val="Hyperlink"/>
          <w:rFonts w:ascii="Arial" w:hAnsi="Arial" w:cs="Arial"/>
          <w:color w:val="auto"/>
          <w:sz w:val="22"/>
          <w:szCs w:val="24"/>
          <w:u w:val="none"/>
        </w:rPr>
      </w:pPr>
      <w:r>
        <w:rPr>
          <w:rFonts w:ascii="Arial" w:hAnsi="Arial" w:cs="Arial"/>
          <w:sz w:val="22"/>
          <w:szCs w:val="24"/>
        </w:rPr>
        <w:t xml:space="preserve">Andarwulan N, Nuraida L, Madanijah S, Lioe HN, Zulaikhah. </w:t>
      </w:r>
      <w:r>
        <w:rPr>
          <w:rFonts w:ascii="Arial" w:hAnsi="Arial" w:cs="Arial"/>
          <w:sz w:val="22"/>
          <w:szCs w:val="24"/>
          <w:highlight w:val="yellow"/>
        </w:rPr>
        <w:t>2011</w:t>
      </w:r>
      <w:r>
        <w:rPr>
          <w:rFonts w:ascii="Arial" w:hAnsi="Arial" w:cs="Arial"/>
          <w:sz w:val="22"/>
          <w:szCs w:val="24"/>
        </w:rPr>
        <w:t xml:space="preserve">. Free glutamate content of condiment and seasonings and their intake in Bogor and Jakarta, Indonesia. </w:t>
      </w:r>
      <w:r>
        <w:rPr>
          <w:rFonts w:ascii="Arial" w:hAnsi="Arial" w:cs="Arial"/>
          <w:i/>
          <w:sz w:val="22"/>
          <w:szCs w:val="24"/>
        </w:rPr>
        <w:t>Food Nutrition Science</w:t>
      </w:r>
      <w:r>
        <w:rPr>
          <w:rFonts w:ascii="Arial" w:hAnsi="Arial" w:cs="Arial"/>
          <w:sz w:val="22"/>
          <w:szCs w:val="24"/>
        </w:rPr>
        <w:t xml:space="preserve"> 2:764-769. Doi: </w:t>
      </w:r>
      <w:r>
        <w:rPr>
          <w:rFonts w:ascii="Arial" w:hAnsi="Arial" w:cs="Arial"/>
          <w:iCs/>
          <w:sz w:val="22"/>
          <w:szCs w:val="24"/>
        </w:rPr>
        <w:t>10.4236/</w:t>
      </w:r>
      <w:r>
        <w:rPr>
          <w:rFonts w:ascii="Arial" w:hAnsi="Arial" w:cs="Arial"/>
          <w:sz w:val="22"/>
          <w:szCs w:val="24"/>
        </w:rPr>
        <w:t>fns.2011.27105.</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Bi J, O’Mahony M. </w:t>
      </w:r>
      <w:r>
        <w:rPr>
          <w:rFonts w:ascii="Arial" w:hAnsi="Arial" w:cs="Arial"/>
          <w:color w:val="000000" w:themeColor="text1"/>
          <w:sz w:val="22"/>
          <w:szCs w:val="24"/>
          <w:highlight w:val="yellow"/>
        </w:rPr>
        <w:t>2007</w:t>
      </w:r>
      <w:r>
        <w:rPr>
          <w:rFonts w:ascii="Arial" w:hAnsi="Arial" w:cs="Arial"/>
          <w:color w:val="000000" w:themeColor="text1"/>
          <w:sz w:val="22"/>
          <w:szCs w:val="24"/>
        </w:rPr>
        <w:t xml:space="preserve">. Update and extended tabel for testing the significance of the R-index. </w:t>
      </w:r>
      <w:r>
        <w:rPr>
          <w:rFonts w:ascii="Arial" w:hAnsi="Arial" w:cs="Arial"/>
          <w:i/>
          <w:color w:val="000000" w:themeColor="text1"/>
          <w:sz w:val="22"/>
          <w:szCs w:val="24"/>
        </w:rPr>
        <w:t>J</w:t>
      </w:r>
      <w:r>
        <w:rPr>
          <w:rFonts w:ascii="Arial" w:hAnsi="Arial" w:cs="Arial"/>
          <w:i/>
          <w:color w:val="000000" w:themeColor="text1"/>
          <w:sz w:val="22"/>
          <w:szCs w:val="24"/>
          <w:lang w:val="id-ID"/>
        </w:rPr>
        <w:t>ournal</w:t>
      </w:r>
      <w:r>
        <w:rPr>
          <w:rFonts w:ascii="Arial" w:hAnsi="Arial" w:cs="Arial"/>
          <w:i/>
          <w:color w:val="000000" w:themeColor="text1"/>
          <w:sz w:val="22"/>
          <w:szCs w:val="24"/>
        </w:rPr>
        <w:t xml:space="preserve"> of Sensory Study. </w:t>
      </w:r>
      <w:r>
        <w:rPr>
          <w:rFonts w:ascii="Arial" w:hAnsi="Arial" w:cs="Arial"/>
          <w:color w:val="000000" w:themeColor="text1"/>
          <w:sz w:val="22"/>
          <w:szCs w:val="24"/>
        </w:rPr>
        <w:t xml:space="preserve">(22):713-720. </w:t>
      </w:r>
      <w:r>
        <w:rPr>
          <w:rStyle w:val="article-headermeta-info-label"/>
          <w:rFonts w:ascii="Arial" w:hAnsi="Arial" w:cs="Arial"/>
          <w:bCs/>
          <w:color w:val="333333"/>
          <w:sz w:val="22"/>
          <w:szCs w:val="24"/>
          <w:bdr w:val="none" w:sz="0" w:space="0" w:color="auto" w:frame="1"/>
          <w:shd w:val="clear" w:color="auto" w:fill="FFFFFF"/>
        </w:rPr>
        <w:t>DOI:</w:t>
      </w:r>
      <w:r>
        <w:rPr>
          <w:rStyle w:val="apple-converted-space"/>
          <w:rFonts w:ascii="Arial" w:hAnsi="Arial" w:cs="Arial"/>
          <w:b/>
          <w:bCs/>
          <w:color w:val="333333"/>
          <w:sz w:val="22"/>
          <w:szCs w:val="24"/>
          <w:bdr w:val="none" w:sz="0" w:space="0" w:color="auto" w:frame="1"/>
          <w:shd w:val="clear" w:color="auto" w:fill="FFFFFF"/>
        </w:rPr>
        <w:t> </w:t>
      </w:r>
      <w:r>
        <w:rPr>
          <w:rStyle w:val="article-headermeta-info-data"/>
          <w:rFonts w:ascii="Arial" w:hAnsi="Arial" w:cs="Arial"/>
          <w:color w:val="333333"/>
          <w:sz w:val="22"/>
          <w:szCs w:val="24"/>
          <w:bdr w:val="none" w:sz="0" w:space="0" w:color="auto" w:frame="1"/>
          <w:shd w:val="clear" w:color="auto" w:fill="FFFFFF"/>
        </w:rPr>
        <w:t>10.1111/j.1745-459X.2007.00132.x</w:t>
      </w:r>
    </w:p>
    <w:p>
      <w:pPr>
        <w:pStyle w:val="ListParagraph"/>
        <w:spacing w:line="360" w:lineRule="auto"/>
        <w:ind w:hanging="720"/>
        <w:rPr>
          <w:rFonts w:ascii="Arial" w:hAnsi="Arial" w:cs="Arial"/>
          <w:sz w:val="22"/>
          <w:szCs w:val="24"/>
        </w:rPr>
      </w:pPr>
      <w:r>
        <w:rPr>
          <w:rFonts w:ascii="Arial" w:hAnsi="Arial" w:cs="Arial"/>
          <w:sz w:val="22"/>
          <w:szCs w:val="24"/>
          <w:lang w:val="id-ID"/>
        </w:rPr>
        <w:t xml:space="preserve">Hasanah U. 2014. Ambang sensori rasa dasar dan preferensi dalam matriks pangan dengan pendekatan multikultural di Indonesia [tesis]. </w:t>
      </w:r>
      <w:r>
        <w:rPr>
          <w:rFonts w:ascii="Arial" w:hAnsi="Arial" w:cs="Arial"/>
          <w:sz w:val="22"/>
          <w:szCs w:val="24"/>
        </w:rPr>
        <w:t xml:space="preserve">Bogor (ID): </w:t>
      </w:r>
      <w:r>
        <w:rPr>
          <w:rFonts w:ascii="Arial" w:hAnsi="Arial" w:cs="Arial"/>
          <w:sz w:val="22"/>
          <w:szCs w:val="24"/>
          <w:lang w:val="id-ID"/>
        </w:rPr>
        <w:t>Institut Pertanian Bogor.</w:t>
      </w:r>
    </w:p>
    <w:p>
      <w:pPr>
        <w:pStyle w:val="ListParagraph"/>
        <w:spacing w:line="360" w:lineRule="auto"/>
        <w:ind w:hanging="720"/>
        <w:rPr>
          <w:rFonts w:ascii="Arial" w:hAnsi="Arial" w:cs="Arial"/>
          <w:sz w:val="22"/>
          <w:szCs w:val="24"/>
        </w:rPr>
      </w:pPr>
      <w:r>
        <w:rPr>
          <w:rFonts w:ascii="Arial" w:hAnsi="Arial" w:cs="Arial"/>
          <w:sz w:val="22"/>
          <w:szCs w:val="24"/>
        </w:rPr>
        <w:t xml:space="preserve">Hasanah U, Adawiyah DR, Nurtama B. </w:t>
      </w:r>
      <w:r>
        <w:rPr>
          <w:rFonts w:ascii="Arial" w:hAnsi="Arial" w:cs="Arial"/>
          <w:sz w:val="22"/>
          <w:szCs w:val="24"/>
          <w:highlight w:val="yellow"/>
        </w:rPr>
        <w:t>2014</w:t>
      </w:r>
      <w:r>
        <w:rPr>
          <w:rFonts w:ascii="Arial" w:hAnsi="Arial" w:cs="Arial"/>
          <w:sz w:val="22"/>
          <w:szCs w:val="24"/>
        </w:rPr>
        <w:t xml:space="preserve">. Preferensi dan Ambang Deteksi Rasa Manis dan Pahit : Pendekatan Multikultural dan Gender. </w:t>
      </w:r>
      <w:r>
        <w:rPr>
          <w:rFonts w:ascii="Arial" w:hAnsi="Arial" w:cs="Arial"/>
          <w:i/>
          <w:sz w:val="22"/>
          <w:szCs w:val="24"/>
        </w:rPr>
        <w:t>Jurnal Mutu Pangan</w:t>
      </w:r>
      <w:r>
        <w:rPr>
          <w:rFonts w:ascii="Arial" w:hAnsi="Arial" w:cs="Arial"/>
          <w:sz w:val="22"/>
          <w:szCs w:val="24"/>
          <w:lang w:val="id-ID"/>
        </w:rPr>
        <w:t>.</w:t>
      </w:r>
      <w:r>
        <w:rPr>
          <w:rFonts w:ascii="Arial" w:hAnsi="Arial" w:cs="Arial"/>
          <w:sz w:val="22"/>
          <w:szCs w:val="24"/>
        </w:rPr>
        <w:t xml:space="preserve"> 1</w:t>
      </w:r>
      <w:r>
        <w:rPr>
          <w:rFonts w:ascii="Arial" w:hAnsi="Arial" w:cs="Arial"/>
          <w:sz w:val="22"/>
          <w:szCs w:val="24"/>
          <w:lang w:val="id-ID"/>
        </w:rPr>
        <w:t>(1)</w:t>
      </w:r>
      <w:r>
        <w:rPr>
          <w:rFonts w:ascii="Arial" w:hAnsi="Arial" w:cs="Arial"/>
          <w:sz w:val="22"/>
          <w:szCs w:val="24"/>
        </w:rPr>
        <w:t>: 1-8.</w:t>
      </w:r>
    </w:p>
    <w:p>
      <w:pPr>
        <w:pStyle w:val="ListParagraph"/>
        <w:spacing w:line="360" w:lineRule="auto"/>
        <w:ind w:hanging="720"/>
        <w:rPr>
          <w:rFonts w:ascii="Arial" w:hAnsi="Arial" w:cs="Arial"/>
          <w:sz w:val="22"/>
          <w:szCs w:val="24"/>
        </w:rPr>
      </w:pPr>
      <w:r>
        <w:rPr>
          <w:rFonts w:ascii="Arial" w:hAnsi="Arial" w:cs="Arial"/>
          <w:sz w:val="22"/>
          <w:szCs w:val="24"/>
        </w:rPr>
        <w:t xml:space="preserve">Kemp S, Hollowood T, Hort J. </w:t>
      </w:r>
      <w:commentRangeStart w:id="54"/>
      <w:r>
        <w:rPr>
          <w:rFonts w:ascii="Arial" w:hAnsi="Arial" w:cs="Arial"/>
          <w:sz w:val="22"/>
          <w:szCs w:val="24"/>
        </w:rPr>
        <w:t>2009</w:t>
      </w:r>
      <w:commentRangeEnd w:id="54"/>
      <w:r>
        <w:rPr>
          <w:rStyle w:val="CommentReference"/>
        </w:rPr>
        <w:commentReference w:id="54"/>
      </w:r>
      <w:r>
        <w:rPr>
          <w:rFonts w:ascii="Arial" w:hAnsi="Arial" w:cs="Arial"/>
          <w:sz w:val="22"/>
          <w:szCs w:val="24"/>
        </w:rPr>
        <w:t xml:space="preserve">. </w:t>
      </w:r>
      <w:r>
        <w:rPr>
          <w:rFonts w:ascii="Arial" w:hAnsi="Arial" w:cs="Arial"/>
          <w:i/>
          <w:sz w:val="22"/>
          <w:szCs w:val="24"/>
        </w:rPr>
        <w:t>Sensory Evaluation A Practical Handbook</w:t>
      </w:r>
      <w:r>
        <w:rPr>
          <w:rFonts w:ascii="Arial" w:hAnsi="Arial" w:cs="Arial"/>
          <w:sz w:val="22"/>
          <w:szCs w:val="24"/>
        </w:rPr>
        <w:t>. New York (US): John Wiley and Sons Ltd. Publication.</w:t>
      </w:r>
    </w:p>
    <w:p>
      <w:pPr>
        <w:pStyle w:val="ListParagraph"/>
        <w:spacing w:line="360" w:lineRule="auto"/>
        <w:ind w:hanging="720"/>
        <w:rPr>
          <w:rFonts w:ascii="Arial" w:hAnsi="Arial" w:cs="Arial"/>
          <w:sz w:val="22"/>
          <w:szCs w:val="24"/>
        </w:rPr>
      </w:pPr>
      <w:r>
        <w:rPr>
          <w:rFonts w:ascii="Arial" w:hAnsi="Arial" w:cs="Arial"/>
          <w:sz w:val="22"/>
          <w:szCs w:val="24"/>
        </w:rPr>
        <w:t xml:space="preserve">Lanfer A, Bammann K, Knof K, Buchecker K, Russo P, Veidebaum T, Kourides Y, de Henauw S, Molnar D, Bel-Serrat S </w:t>
      </w:r>
      <w:commentRangeStart w:id="55"/>
      <w:r>
        <w:rPr>
          <w:rFonts w:ascii="Arial" w:hAnsi="Arial" w:cs="Arial"/>
          <w:i/>
          <w:iCs/>
          <w:sz w:val="22"/>
          <w:szCs w:val="24"/>
        </w:rPr>
        <w:t>et al</w:t>
      </w:r>
      <w:r>
        <w:rPr>
          <w:rFonts w:ascii="Arial" w:hAnsi="Arial" w:cs="Arial"/>
          <w:sz w:val="22"/>
          <w:szCs w:val="24"/>
        </w:rPr>
        <w:t xml:space="preserve">. </w:t>
      </w:r>
      <w:commentRangeEnd w:id="55"/>
      <w:r>
        <w:rPr>
          <w:rStyle w:val="CommentReference"/>
        </w:rPr>
        <w:commentReference w:id="55"/>
      </w:r>
      <w:r>
        <w:rPr>
          <w:rFonts w:ascii="Arial" w:hAnsi="Arial" w:cs="Arial"/>
          <w:sz w:val="22"/>
          <w:szCs w:val="24"/>
          <w:highlight w:val="yellow"/>
        </w:rPr>
        <w:t>2013</w:t>
      </w:r>
      <w:r>
        <w:rPr>
          <w:rFonts w:ascii="Arial" w:hAnsi="Arial" w:cs="Arial"/>
          <w:sz w:val="22"/>
          <w:szCs w:val="24"/>
        </w:rPr>
        <w:t xml:space="preserve">. Predictors and correlates of taste preferences in European children: The IDEFICS study. </w:t>
      </w:r>
      <w:r>
        <w:rPr>
          <w:rFonts w:ascii="Arial" w:hAnsi="Arial" w:cs="Arial"/>
          <w:i/>
          <w:sz w:val="22"/>
          <w:szCs w:val="24"/>
        </w:rPr>
        <w:t>Journal of Food Quality and Preference.</w:t>
      </w:r>
      <w:r>
        <w:rPr>
          <w:rFonts w:ascii="Arial" w:hAnsi="Arial" w:cs="Arial"/>
          <w:sz w:val="22"/>
          <w:szCs w:val="24"/>
        </w:rPr>
        <w:t xml:space="preserve"> 27: 128-136.</w:t>
      </w:r>
      <w:r>
        <w:rPr>
          <w:rFonts w:ascii="Arial" w:eastAsiaTheme="minorHAnsi" w:hAnsi="Arial" w:cs="Arial"/>
          <w:color w:val="000000"/>
          <w:sz w:val="22"/>
          <w:szCs w:val="24"/>
          <w:lang w:eastAsia="en-US"/>
        </w:rPr>
        <w:t xml:space="preserve"> </w:t>
      </w:r>
      <w:r>
        <w:rPr>
          <w:rFonts w:ascii="Arial" w:hAnsi="Arial" w:cs="Arial"/>
          <w:sz w:val="22"/>
          <w:szCs w:val="24"/>
        </w:rPr>
        <w:t>Doi:10.1016/j.foodqual.2012. 09.006.</w:t>
      </w:r>
    </w:p>
    <w:p>
      <w:pPr>
        <w:pStyle w:val="ListParagraph"/>
        <w:spacing w:line="360" w:lineRule="auto"/>
        <w:ind w:hanging="720"/>
        <w:rPr>
          <w:rFonts w:ascii="Arial" w:hAnsi="Arial" w:cs="Arial"/>
          <w:sz w:val="22"/>
          <w:szCs w:val="24"/>
        </w:rPr>
      </w:pPr>
      <w:r>
        <w:rPr>
          <w:rFonts w:ascii="Arial" w:hAnsi="Arial" w:cs="Arial"/>
          <w:sz w:val="22"/>
          <w:szCs w:val="24"/>
        </w:rPr>
        <w:t xml:space="preserve">Lawless HT,  Heymann H. 2010. </w:t>
      </w:r>
      <w:r>
        <w:rPr>
          <w:rFonts w:ascii="Arial" w:hAnsi="Arial" w:cs="Arial"/>
          <w:i/>
          <w:sz w:val="22"/>
          <w:szCs w:val="24"/>
        </w:rPr>
        <w:t>Sensory Evaluation of Food : Principles and Practices, Second Edition</w:t>
      </w:r>
      <w:r>
        <w:rPr>
          <w:rFonts w:ascii="Arial" w:hAnsi="Arial" w:cs="Arial"/>
          <w:sz w:val="22"/>
          <w:szCs w:val="24"/>
        </w:rPr>
        <w:t>. New York (US): Springer.</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Meilgaard M, Civille GV dan Carr BT. 2007. </w:t>
      </w:r>
      <w:r>
        <w:rPr>
          <w:rFonts w:ascii="Arial" w:hAnsi="Arial" w:cs="Arial"/>
          <w:i/>
          <w:color w:val="000000" w:themeColor="text1"/>
          <w:sz w:val="22"/>
          <w:szCs w:val="24"/>
        </w:rPr>
        <w:t xml:space="preserve">Sensory Evaluation Techniques. </w:t>
      </w:r>
      <w:r>
        <w:rPr>
          <w:rFonts w:ascii="Arial" w:hAnsi="Arial" w:cs="Arial"/>
          <w:color w:val="000000" w:themeColor="text1"/>
          <w:sz w:val="22"/>
          <w:szCs w:val="24"/>
        </w:rPr>
        <w:t>Boca Raton (US): CRC Press.</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Robinson KM, Klein BP, Lee SY. </w:t>
      </w:r>
      <w:r>
        <w:rPr>
          <w:rFonts w:ascii="Arial" w:hAnsi="Arial" w:cs="Arial"/>
          <w:color w:val="FF0000"/>
          <w:sz w:val="22"/>
          <w:szCs w:val="24"/>
        </w:rPr>
        <w:t>2005</w:t>
      </w:r>
      <w:r>
        <w:rPr>
          <w:rFonts w:ascii="Arial" w:hAnsi="Arial" w:cs="Arial"/>
          <w:color w:val="000000" w:themeColor="text1"/>
          <w:sz w:val="22"/>
          <w:szCs w:val="24"/>
        </w:rPr>
        <w:t xml:space="preserve">. Utilizing the R-index for threshold testing in model caffeine solutions. </w:t>
      </w:r>
      <w:r>
        <w:rPr>
          <w:rFonts w:ascii="Arial" w:hAnsi="Arial" w:cs="Arial"/>
          <w:i/>
          <w:color w:val="000000" w:themeColor="text1"/>
          <w:sz w:val="22"/>
          <w:szCs w:val="24"/>
        </w:rPr>
        <w:t>Journal of</w:t>
      </w:r>
      <w:r>
        <w:rPr>
          <w:rFonts w:ascii="Arial" w:hAnsi="Arial" w:cs="Arial"/>
          <w:color w:val="000000" w:themeColor="text1"/>
          <w:sz w:val="22"/>
          <w:szCs w:val="24"/>
        </w:rPr>
        <w:t xml:space="preserve"> </w:t>
      </w:r>
      <w:r>
        <w:rPr>
          <w:rFonts w:ascii="Arial" w:hAnsi="Arial" w:cs="Arial"/>
          <w:i/>
          <w:color w:val="000000" w:themeColor="text1"/>
          <w:sz w:val="22"/>
          <w:szCs w:val="24"/>
        </w:rPr>
        <w:t>Food Quality and Preference</w:t>
      </w:r>
      <w:r>
        <w:rPr>
          <w:rFonts w:ascii="Arial" w:hAnsi="Arial" w:cs="Arial"/>
          <w:color w:val="000000" w:themeColor="text1"/>
          <w:sz w:val="22"/>
          <w:szCs w:val="24"/>
        </w:rPr>
        <w:t xml:space="preserve">. (16): 283-289. </w:t>
      </w:r>
      <w:r>
        <w:rPr>
          <w:rFonts w:ascii="Arial" w:hAnsi="Arial" w:cs="Arial"/>
          <w:sz w:val="22"/>
          <w:szCs w:val="24"/>
          <w:bdr w:val="none" w:sz="0" w:space="0" w:color="auto" w:frame="1"/>
          <w:shd w:val="clear" w:color="auto" w:fill="FFFFFF"/>
        </w:rPr>
        <w:t>doi.org/10.1016/j.foodqual.2004.05.001</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Sano C. </w:t>
      </w:r>
      <w:r>
        <w:rPr>
          <w:rFonts w:ascii="Arial" w:hAnsi="Arial" w:cs="Arial"/>
          <w:color w:val="000000" w:themeColor="text1"/>
          <w:sz w:val="22"/>
          <w:szCs w:val="24"/>
          <w:highlight w:val="yellow"/>
        </w:rPr>
        <w:t>2009</w:t>
      </w:r>
      <w:r>
        <w:rPr>
          <w:rFonts w:ascii="Arial" w:hAnsi="Arial" w:cs="Arial"/>
          <w:color w:val="000000" w:themeColor="text1"/>
          <w:sz w:val="22"/>
          <w:szCs w:val="24"/>
        </w:rPr>
        <w:t xml:space="preserve">. History of glutamate production. </w:t>
      </w:r>
      <w:r>
        <w:rPr>
          <w:rFonts w:ascii="Arial" w:hAnsi="Arial" w:cs="Arial"/>
          <w:i/>
          <w:color w:val="000000" w:themeColor="text1"/>
          <w:sz w:val="22"/>
          <w:szCs w:val="24"/>
        </w:rPr>
        <w:t>American Journal of Clinical Nutrition.</w:t>
      </w:r>
      <w:r>
        <w:rPr>
          <w:rFonts w:ascii="Arial" w:hAnsi="Arial" w:cs="Arial"/>
          <w:color w:val="000000" w:themeColor="text1"/>
          <w:sz w:val="22"/>
          <w:szCs w:val="24"/>
        </w:rPr>
        <w:t xml:space="preserve"> 90 (suppl): 728S- 32S.</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Sarwono J. 2006. Teori analisis korelasi, mengenal analisis korelasi</w:t>
      </w:r>
      <w:r>
        <w:rPr>
          <w:rFonts w:ascii="Arial" w:hAnsi="Arial" w:cs="Arial"/>
          <w:sz w:val="22"/>
          <w:szCs w:val="24"/>
        </w:rPr>
        <w:t xml:space="preserve"> [internet]. [diunduh 2016 Oktober 02]. Tersedia pada: http://www.jonathansarwono.info/korelasi/korelasi.htm.</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Senthil A, Bhat KK.  </w:t>
      </w:r>
      <w:r>
        <w:rPr>
          <w:rFonts w:ascii="Arial" w:hAnsi="Arial" w:cs="Arial"/>
          <w:color w:val="000000" w:themeColor="text1"/>
          <w:sz w:val="22"/>
          <w:szCs w:val="24"/>
          <w:highlight w:val="yellow"/>
        </w:rPr>
        <w:t>2011</w:t>
      </w:r>
      <w:r>
        <w:rPr>
          <w:rFonts w:ascii="Arial" w:hAnsi="Arial" w:cs="Arial"/>
          <w:color w:val="000000" w:themeColor="text1"/>
          <w:sz w:val="22"/>
          <w:szCs w:val="24"/>
        </w:rPr>
        <w:t>. Best estimated taste detection threshold for cardamom (</w:t>
      </w:r>
      <w:r>
        <w:rPr>
          <w:rFonts w:ascii="Arial" w:hAnsi="Arial" w:cs="Arial"/>
          <w:i/>
          <w:color w:val="000000" w:themeColor="text1"/>
          <w:sz w:val="22"/>
          <w:szCs w:val="24"/>
        </w:rPr>
        <w:t>Elettaria cardamomum</w:t>
      </w:r>
      <w:r>
        <w:rPr>
          <w:rFonts w:ascii="Arial" w:hAnsi="Arial" w:cs="Arial"/>
          <w:color w:val="000000" w:themeColor="text1"/>
          <w:sz w:val="22"/>
          <w:szCs w:val="24"/>
        </w:rPr>
        <w:t xml:space="preserve">) aroma in different media. </w:t>
      </w:r>
      <w:r>
        <w:rPr>
          <w:rFonts w:ascii="Arial" w:hAnsi="Arial" w:cs="Arial"/>
          <w:i/>
          <w:iCs/>
          <w:color w:val="000000" w:themeColor="text1"/>
          <w:sz w:val="22"/>
          <w:szCs w:val="24"/>
        </w:rPr>
        <w:t>J</w:t>
      </w:r>
      <w:r>
        <w:rPr>
          <w:rFonts w:ascii="Arial" w:hAnsi="Arial" w:cs="Arial"/>
          <w:i/>
          <w:iCs/>
          <w:color w:val="000000" w:themeColor="text1"/>
          <w:sz w:val="22"/>
          <w:szCs w:val="24"/>
          <w:lang w:val="id-ID"/>
        </w:rPr>
        <w:t>ournal</w:t>
      </w:r>
      <w:r>
        <w:rPr>
          <w:rFonts w:ascii="Arial" w:hAnsi="Arial" w:cs="Arial"/>
          <w:i/>
          <w:iCs/>
          <w:color w:val="000000" w:themeColor="text1"/>
          <w:sz w:val="22"/>
          <w:szCs w:val="24"/>
        </w:rPr>
        <w:t xml:space="preserve"> of Sensory Studies.</w:t>
      </w:r>
      <w:r>
        <w:rPr>
          <w:rFonts w:ascii="Arial" w:hAnsi="Arial" w:cs="Arial"/>
          <w:color w:val="000000" w:themeColor="text1"/>
          <w:sz w:val="22"/>
          <w:szCs w:val="24"/>
        </w:rPr>
        <w:t xml:space="preserve"> 26: 48-53. </w:t>
      </w:r>
      <w:r>
        <w:rPr>
          <w:rStyle w:val="article-headermeta-info-label"/>
          <w:rFonts w:ascii="Arial" w:hAnsi="Arial" w:cs="Arial"/>
          <w:bCs/>
          <w:color w:val="333333"/>
          <w:sz w:val="22"/>
          <w:szCs w:val="24"/>
          <w:bdr w:val="none" w:sz="0" w:space="0" w:color="auto" w:frame="1"/>
          <w:shd w:val="clear" w:color="auto" w:fill="FFFFFF"/>
        </w:rPr>
        <w:t>DOI:</w:t>
      </w:r>
      <w:r>
        <w:rPr>
          <w:rStyle w:val="apple-converted-space"/>
          <w:rFonts w:ascii="Arial" w:hAnsi="Arial" w:cs="Arial"/>
          <w:bCs/>
          <w:color w:val="333333"/>
          <w:sz w:val="22"/>
          <w:szCs w:val="24"/>
          <w:bdr w:val="none" w:sz="0" w:space="0" w:color="auto" w:frame="1"/>
          <w:shd w:val="clear" w:color="auto" w:fill="FFFFFF"/>
        </w:rPr>
        <w:t> </w:t>
      </w:r>
      <w:r>
        <w:rPr>
          <w:rStyle w:val="article-headermeta-info-data"/>
          <w:rFonts w:ascii="Arial" w:hAnsi="Arial" w:cs="Arial"/>
          <w:color w:val="333333"/>
          <w:sz w:val="22"/>
          <w:szCs w:val="24"/>
          <w:bdr w:val="none" w:sz="0" w:space="0" w:color="auto" w:frame="1"/>
          <w:shd w:val="clear" w:color="auto" w:fill="FFFFFF"/>
        </w:rPr>
        <w:t>10.1111/j.1745-459X.2010.00320.x</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lastRenderedPageBreak/>
        <w:t>Wakita</w:t>
      </w:r>
      <w:r>
        <w:rPr>
          <w:rStyle w:val="st"/>
          <w:rFonts w:ascii="Arial" w:hAnsi="Arial" w:cs="Arial"/>
          <w:sz w:val="22"/>
          <w:szCs w:val="24"/>
        </w:rPr>
        <w:t xml:space="preserve"> A, Sarukura N, Kimura Y, Shikanai S, Iwamoto T</w:t>
      </w:r>
      <w:r>
        <w:rPr>
          <w:rFonts w:ascii="Arial" w:hAnsi="Arial" w:cs="Arial"/>
          <w:color w:val="000000" w:themeColor="text1"/>
          <w:sz w:val="22"/>
          <w:szCs w:val="24"/>
        </w:rPr>
        <w:t xml:space="preserve">. </w:t>
      </w:r>
      <w:r>
        <w:rPr>
          <w:rFonts w:ascii="Arial" w:hAnsi="Arial" w:cs="Arial"/>
          <w:color w:val="000000" w:themeColor="text1"/>
          <w:sz w:val="22"/>
          <w:szCs w:val="24"/>
          <w:highlight w:val="yellow"/>
        </w:rPr>
        <w:t>2013</w:t>
      </w:r>
      <w:r>
        <w:rPr>
          <w:rFonts w:ascii="Arial" w:hAnsi="Arial" w:cs="Arial"/>
          <w:color w:val="000000" w:themeColor="text1"/>
          <w:sz w:val="22"/>
          <w:szCs w:val="24"/>
        </w:rPr>
        <w:t xml:space="preserve">. Dietary salt and health: umami seasoning as an attempt to reduce salt intake. </w:t>
      </w:r>
      <w:r>
        <w:rPr>
          <w:rFonts w:ascii="Arial" w:hAnsi="Arial" w:cs="Arial"/>
          <w:i/>
          <w:color w:val="000000" w:themeColor="text1"/>
          <w:sz w:val="22"/>
          <w:szCs w:val="24"/>
        </w:rPr>
        <w:t>Journal of Nutrition &amp; Food Sciences</w:t>
      </w:r>
      <w:r>
        <w:rPr>
          <w:rFonts w:ascii="Arial" w:hAnsi="Arial" w:cs="Arial"/>
          <w:color w:val="000000" w:themeColor="text1"/>
          <w:sz w:val="22"/>
          <w:szCs w:val="24"/>
        </w:rPr>
        <w:t>. S10:008. doi: 10.4172/2155-9600.S10-008</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Walker R, Lupien JR. </w:t>
      </w:r>
      <w:r>
        <w:rPr>
          <w:rFonts w:ascii="Arial" w:hAnsi="Arial" w:cs="Arial"/>
          <w:color w:val="FF0000"/>
          <w:sz w:val="22"/>
          <w:szCs w:val="24"/>
        </w:rPr>
        <w:t>2000</w:t>
      </w:r>
      <w:r>
        <w:rPr>
          <w:rFonts w:ascii="Arial" w:hAnsi="Arial" w:cs="Arial"/>
          <w:color w:val="000000" w:themeColor="text1"/>
          <w:sz w:val="22"/>
          <w:szCs w:val="24"/>
        </w:rPr>
        <w:t xml:space="preserve">. The safety evaluation of monosodium glutamate. </w:t>
      </w:r>
      <w:r>
        <w:rPr>
          <w:rFonts w:ascii="Arial" w:hAnsi="Arial" w:cs="Arial"/>
          <w:i/>
          <w:color w:val="000000" w:themeColor="text1"/>
          <w:sz w:val="22"/>
          <w:szCs w:val="24"/>
        </w:rPr>
        <w:t>Journal of Nutrition</w:t>
      </w:r>
      <w:r>
        <w:rPr>
          <w:rFonts w:ascii="Arial" w:hAnsi="Arial" w:cs="Arial"/>
          <w:color w:val="000000" w:themeColor="text1"/>
          <w:sz w:val="22"/>
          <w:szCs w:val="24"/>
        </w:rPr>
        <w:t>. 130(4S Suppl): 1049S-52S</w:t>
      </w:r>
    </w:p>
    <w:p>
      <w:pPr>
        <w:pStyle w:val="ListParagraph"/>
        <w:spacing w:line="360" w:lineRule="auto"/>
        <w:ind w:hanging="720"/>
        <w:rPr>
          <w:rFonts w:ascii="Arial" w:hAnsi="Arial" w:cs="Arial"/>
          <w:color w:val="000000" w:themeColor="text1"/>
          <w:sz w:val="22"/>
          <w:szCs w:val="24"/>
        </w:rPr>
      </w:pPr>
      <w:r>
        <w:rPr>
          <w:rFonts w:ascii="Arial" w:hAnsi="Arial" w:cs="Arial"/>
          <w:color w:val="000000" w:themeColor="text1"/>
          <w:sz w:val="22"/>
          <w:szCs w:val="24"/>
        </w:rPr>
        <w:t xml:space="preserve">Yamaguchi S, Ninomiya K. </w:t>
      </w:r>
      <w:r>
        <w:rPr>
          <w:rFonts w:ascii="Arial" w:hAnsi="Arial" w:cs="Arial"/>
          <w:color w:val="FF0000"/>
          <w:sz w:val="22"/>
          <w:szCs w:val="24"/>
        </w:rPr>
        <w:t>2000</w:t>
      </w:r>
      <w:r>
        <w:rPr>
          <w:rFonts w:ascii="Arial" w:hAnsi="Arial" w:cs="Arial"/>
          <w:color w:val="000000" w:themeColor="text1"/>
          <w:sz w:val="22"/>
          <w:szCs w:val="24"/>
        </w:rPr>
        <w:t xml:space="preserve">. The use and utility of glutamates as flavoring agents in food: Umami and Food Palatability. </w:t>
      </w:r>
      <w:r>
        <w:rPr>
          <w:rFonts w:ascii="Arial" w:hAnsi="Arial" w:cs="Arial"/>
          <w:i/>
          <w:color w:val="000000" w:themeColor="text1"/>
          <w:sz w:val="22"/>
          <w:szCs w:val="24"/>
        </w:rPr>
        <w:t>J</w:t>
      </w:r>
      <w:r>
        <w:rPr>
          <w:rFonts w:ascii="Arial" w:hAnsi="Arial" w:cs="Arial"/>
          <w:i/>
          <w:color w:val="000000" w:themeColor="text1"/>
          <w:sz w:val="22"/>
          <w:szCs w:val="24"/>
          <w:lang w:val="id-ID"/>
        </w:rPr>
        <w:t>ournal</w:t>
      </w:r>
      <w:r>
        <w:rPr>
          <w:rFonts w:ascii="Arial" w:hAnsi="Arial" w:cs="Arial"/>
          <w:i/>
          <w:color w:val="000000" w:themeColor="text1"/>
          <w:sz w:val="22"/>
          <w:szCs w:val="24"/>
        </w:rPr>
        <w:t xml:space="preserve"> of Nutr</w:t>
      </w:r>
      <w:r>
        <w:rPr>
          <w:rFonts w:ascii="Arial" w:hAnsi="Arial" w:cs="Arial"/>
          <w:i/>
          <w:color w:val="000000" w:themeColor="text1"/>
          <w:sz w:val="22"/>
          <w:szCs w:val="24"/>
          <w:lang w:val="id-ID"/>
        </w:rPr>
        <w:t>ition</w:t>
      </w:r>
      <w:r>
        <w:rPr>
          <w:rFonts w:ascii="Arial" w:hAnsi="Arial" w:cs="Arial"/>
          <w:color w:val="000000" w:themeColor="text1"/>
          <w:sz w:val="22"/>
          <w:szCs w:val="24"/>
        </w:rPr>
        <w:t>. 130: 921S-926S.</w:t>
      </w:r>
    </w:p>
    <w:p>
      <w:pPr>
        <w:pStyle w:val="ListParagraph"/>
        <w:spacing w:line="360" w:lineRule="auto"/>
        <w:ind w:hanging="720"/>
        <w:rPr>
          <w:rFonts w:ascii="Arial" w:hAnsi="Arial" w:cs="Arial"/>
          <w:color w:val="000000" w:themeColor="text1"/>
          <w:sz w:val="22"/>
          <w:szCs w:val="24"/>
        </w:rPr>
      </w:pPr>
    </w:p>
    <w:p>
      <w:pPr>
        <w:spacing w:after="200" w:line="276" w:lineRule="auto"/>
        <w:ind w:firstLine="0"/>
        <w:jc w:val="left"/>
        <w:rPr>
          <w:rFonts w:ascii="Arial" w:hAnsi="Arial" w:cs="Arial"/>
          <w:color w:val="000000" w:themeColor="text1"/>
          <w:sz w:val="22"/>
          <w:szCs w:val="24"/>
        </w:rPr>
      </w:pPr>
      <w:r>
        <w:rPr>
          <w:rFonts w:ascii="Arial" w:hAnsi="Arial" w:cs="Arial"/>
          <w:color w:val="000000" w:themeColor="text1"/>
          <w:sz w:val="22"/>
          <w:szCs w:val="24"/>
        </w:rPr>
        <w:br w:type="page"/>
      </w:r>
    </w:p>
    <w:p>
      <w:pPr>
        <w:ind w:firstLine="0"/>
        <w:rPr>
          <w:rFonts w:ascii="Arial" w:hAnsi="Arial" w:cs="Arial"/>
          <w:sz w:val="22"/>
          <w:szCs w:val="24"/>
        </w:rPr>
      </w:pPr>
    </w:p>
    <w:p>
      <w:pPr>
        <w:ind w:firstLine="0"/>
        <w:rPr>
          <w:rFonts w:ascii="Arial" w:hAnsi="Arial" w:cs="Arial"/>
          <w:sz w:val="22"/>
          <w:szCs w:val="24"/>
        </w:rPr>
      </w:pPr>
      <w:r>
        <w:rPr>
          <w:rFonts w:ascii="Arial" w:hAnsi="Arial" w:cs="Arial"/>
          <w:sz w:val="22"/>
          <w:szCs w:val="24"/>
        </w:rPr>
        <w:t>Tabel 1  Respon dan matriks data untuk uji R-indeks</w:t>
      </w:r>
    </w:p>
    <w:tbl>
      <w:tblPr>
        <w:tblW w:w="6925" w:type="dxa"/>
        <w:jc w:val="center"/>
        <w:tblLayout w:type="fixed"/>
        <w:tblLook w:val="04A0" w:firstRow="1" w:lastRow="0" w:firstColumn="1" w:lastColumn="0" w:noHBand="0" w:noVBand="1"/>
      </w:tblPr>
      <w:tblGrid>
        <w:gridCol w:w="4405"/>
        <w:gridCol w:w="1260"/>
        <w:gridCol w:w="1260"/>
      </w:tblGrid>
      <w:tr>
        <w:trPr>
          <w:jc w:val="center"/>
        </w:trPr>
        <w:tc>
          <w:tcPr>
            <w:tcW w:w="4405" w:type="dxa"/>
            <w:tcBorders>
              <w:top w:val="single" w:sz="4" w:space="0" w:color="auto"/>
              <w:bottom w:val="single" w:sz="4" w:space="0" w:color="auto"/>
            </w:tcBorders>
          </w:tcPr>
          <w:p>
            <w:pPr>
              <w:ind w:firstLine="0"/>
              <w:jc w:val="center"/>
              <w:rPr>
                <w:rFonts w:ascii="Arial" w:hAnsi="Arial" w:cs="Arial"/>
                <w:sz w:val="22"/>
              </w:rPr>
            </w:pPr>
            <w:r>
              <w:rPr>
                <w:rFonts w:ascii="Arial" w:hAnsi="Arial" w:cs="Arial"/>
                <w:sz w:val="22"/>
              </w:rPr>
              <w:t>Respon</w:t>
            </w:r>
          </w:p>
        </w:tc>
        <w:tc>
          <w:tcPr>
            <w:tcW w:w="1260" w:type="dxa"/>
            <w:tcBorders>
              <w:top w:val="single" w:sz="4" w:space="0" w:color="auto"/>
              <w:bottom w:val="single" w:sz="4" w:space="0" w:color="auto"/>
            </w:tcBorders>
          </w:tcPr>
          <w:p>
            <w:pPr>
              <w:ind w:firstLine="0"/>
              <w:jc w:val="center"/>
              <w:rPr>
                <w:rFonts w:ascii="Arial" w:hAnsi="Arial" w:cs="Arial"/>
                <w:sz w:val="22"/>
              </w:rPr>
            </w:pPr>
            <w:r>
              <w:rPr>
                <w:rFonts w:ascii="Arial" w:hAnsi="Arial" w:cs="Arial"/>
                <w:sz w:val="22"/>
              </w:rPr>
              <w:t>Referes</w:t>
            </w:r>
          </w:p>
        </w:tc>
        <w:tc>
          <w:tcPr>
            <w:tcW w:w="1260" w:type="dxa"/>
            <w:tcBorders>
              <w:top w:val="single" w:sz="4" w:space="0" w:color="auto"/>
              <w:bottom w:val="single" w:sz="4" w:space="0" w:color="auto"/>
            </w:tcBorders>
          </w:tcPr>
          <w:p>
            <w:pPr>
              <w:ind w:firstLine="0"/>
              <w:jc w:val="center"/>
              <w:rPr>
                <w:rFonts w:ascii="Arial" w:hAnsi="Arial" w:cs="Arial"/>
                <w:sz w:val="22"/>
              </w:rPr>
            </w:pPr>
            <w:r>
              <w:rPr>
                <w:rFonts w:ascii="Arial" w:hAnsi="Arial" w:cs="Arial"/>
                <w:sz w:val="22"/>
              </w:rPr>
              <w:t>Sampel</w:t>
            </w:r>
          </w:p>
        </w:tc>
      </w:tr>
      <w:tr>
        <w:trPr>
          <w:jc w:val="center"/>
        </w:trPr>
        <w:tc>
          <w:tcPr>
            <w:tcW w:w="4405" w:type="dxa"/>
            <w:tcBorders>
              <w:top w:val="single" w:sz="4" w:space="0" w:color="auto"/>
            </w:tcBorders>
          </w:tcPr>
          <w:p>
            <w:pPr>
              <w:ind w:firstLine="0"/>
              <w:jc w:val="center"/>
              <w:rPr>
                <w:rFonts w:ascii="Arial" w:hAnsi="Arial" w:cs="Arial"/>
                <w:sz w:val="22"/>
              </w:rPr>
            </w:pPr>
            <w:r>
              <w:rPr>
                <w:rFonts w:ascii="Arial" w:hAnsi="Arial" w:cs="Arial"/>
                <w:sz w:val="22"/>
              </w:rPr>
              <w:t>Sama, dan saya yakin</w:t>
            </w:r>
          </w:p>
        </w:tc>
        <w:tc>
          <w:tcPr>
            <w:tcW w:w="1260" w:type="dxa"/>
            <w:tcBorders>
              <w:top w:val="single" w:sz="4" w:space="0" w:color="auto"/>
            </w:tcBorders>
          </w:tcPr>
          <w:p>
            <w:pPr>
              <w:ind w:firstLine="0"/>
              <w:jc w:val="center"/>
              <w:rPr>
                <w:rFonts w:ascii="Arial" w:hAnsi="Arial" w:cs="Arial"/>
                <w:sz w:val="22"/>
              </w:rPr>
            </w:pPr>
            <w:r>
              <w:rPr>
                <w:rFonts w:ascii="Arial" w:hAnsi="Arial" w:cs="Arial"/>
                <w:sz w:val="22"/>
              </w:rPr>
              <w:t>a</w:t>
            </w:r>
          </w:p>
        </w:tc>
        <w:tc>
          <w:tcPr>
            <w:tcW w:w="1260" w:type="dxa"/>
            <w:tcBorders>
              <w:top w:val="single" w:sz="4" w:space="0" w:color="auto"/>
            </w:tcBorders>
          </w:tcPr>
          <w:p>
            <w:pPr>
              <w:ind w:firstLine="0"/>
              <w:jc w:val="center"/>
              <w:rPr>
                <w:rFonts w:ascii="Arial" w:hAnsi="Arial" w:cs="Arial"/>
                <w:sz w:val="22"/>
              </w:rPr>
            </w:pPr>
            <w:r>
              <w:rPr>
                <w:rFonts w:ascii="Arial" w:hAnsi="Arial" w:cs="Arial"/>
                <w:sz w:val="22"/>
              </w:rPr>
              <w:t>g</w:t>
            </w:r>
          </w:p>
        </w:tc>
      </w:tr>
      <w:tr>
        <w:trPr>
          <w:jc w:val="center"/>
        </w:trPr>
        <w:tc>
          <w:tcPr>
            <w:tcW w:w="4405" w:type="dxa"/>
          </w:tcPr>
          <w:p>
            <w:pPr>
              <w:ind w:firstLine="0"/>
              <w:jc w:val="center"/>
              <w:rPr>
                <w:rFonts w:ascii="Arial" w:hAnsi="Arial" w:cs="Arial"/>
                <w:sz w:val="22"/>
              </w:rPr>
            </w:pPr>
            <w:r>
              <w:rPr>
                <w:rFonts w:ascii="Arial" w:hAnsi="Arial" w:cs="Arial"/>
                <w:sz w:val="22"/>
              </w:rPr>
              <w:t>Sama, namun saya tidak terlalu yakin</w:t>
            </w:r>
          </w:p>
        </w:tc>
        <w:tc>
          <w:tcPr>
            <w:tcW w:w="1260" w:type="dxa"/>
          </w:tcPr>
          <w:p>
            <w:pPr>
              <w:ind w:firstLine="0"/>
              <w:jc w:val="center"/>
              <w:rPr>
                <w:rFonts w:ascii="Arial" w:hAnsi="Arial" w:cs="Arial"/>
                <w:sz w:val="22"/>
              </w:rPr>
            </w:pPr>
            <w:r>
              <w:rPr>
                <w:rFonts w:ascii="Arial" w:hAnsi="Arial" w:cs="Arial"/>
                <w:sz w:val="22"/>
              </w:rPr>
              <w:t>b</w:t>
            </w:r>
          </w:p>
        </w:tc>
        <w:tc>
          <w:tcPr>
            <w:tcW w:w="1260" w:type="dxa"/>
          </w:tcPr>
          <w:p>
            <w:pPr>
              <w:ind w:firstLine="0"/>
              <w:jc w:val="center"/>
              <w:rPr>
                <w:rFonts w:ascii="Arial" w:hAnsi="Arial" w:cs="Arial"/>
                <w:sz w:val="22"/>
              </w:rPr>
            </w:pPr>
            <w:r>
              <w:rPr>
                <w:rFonts w:ascii="Arial" w:hAnsi="Arial" w:cs="Arial"/>
                <w:sz w:val="22"/>
              </w:rPr>
              <w:t>h</w:t>
            </w:r>
          </w:p>
        </w:tc>
      </w:tr>
      <w:tr>
        <w:trPr>
          <w:jc w:val="center"/>
        </w:trPr>
        <w:tc>
          <w:tcPr>
            <w:tcW w:w="4405" w:type="dxa"/>
          </w:tcPr>
          <w:p>
            <w:pPr>
              <w:ind w:firstLine="0"/>
              <w:jc w:val="center"/>
              <w:rPr>
                <w:rFonts w:ascii="Arial" w:hAnsi="Arial" w:cs="Arial"/>
                <w:sz w:val="22"/>
              </w:rPr>
            </w:pPr>
            <w:r>
              <w:rPr>
                <w:rFonts w:ascii="Arial" w:hAnsi="Arial" w:cs="Arial"/>
                <w:sz w:val="22"/>
              </w:rPr>
              <w:t>Tidak tahu, namun saya menduga sama</w:t>
            </w:r>
          </w:p>
        </w:tc>
        <w:tc>
          <w:tcPr>
            <w:tcW w:w="1260" w:type="dxa"/>
          </w:tcPr>
          <w:p>
            <w:pPr>
              <w:ind w:firstLine="0"/>
              <w:jc w:val="center"/>
              <w:rPr>
                <w:rFonts w:ascii="Arial" w:hAnsi="Arial" w:cs="Arial"/>
                <w:sz w:val="22"/>
              </w:rPr>
            </w:pPr>
            <w:r>
              <w:rPr>
                <w:rFonts w:ascii="Arial" w:hAnsi="Arial" w:cs="Arial"/>
                <w:sz w:val="22"/>
              </w:rPr>
              <w:t>c</w:t>
            </w:r>
          </w:p>
        </w:tc>
        <w:tc>
          <w:tcPr>
            <w:tcW w:w="1260" w:type="dxa"/>
          </w:tcPr>
          <w:p>
            <w:pPr>
              <w:ind w:firstLine="0"/>
              <w:jc w:val="center"/>
              <w:rPr>
                <w:rFonts w:ascii="Arial" w:hAnsi="Arial" w:cs="Arial"/>
                <w:sz w:val="22"/>
              </w:rPr>
            </w:pPr>
            <w:r>
              <w:rPr>
                <w:rFonts w:ascii="Arial" w:hAnsi="Arial" w:cs="Arial"/>
                <w:sz w:val="22"/>
              </w:rPr>
              <w:t>i</w:t>
            </w:r>
          </w:p>
        </w:tc>
      </w:tr>
      <w:tr>
        <w:trPr>
          <w:jc w:val="center"/>
        </w:trPr>
        <w:tc>
          <w:tcPr>
            <w:tcW w:w="4405" w:type="dxa"/>
          </w:tcPr>
          <w:p>
            <w:pPr>
              <w:ind w:firstLine="0"/>
              <w:jc w:val="center"/>
              <w:rPr>
                <w:rFonts w:ascii="Arial" w:hAnsi="Arial" w:cs="Arial"/>
                <w:sz w:val="22"/>
              </w:rPr>
            </w:pPr>
            <w:r>
              <w:rPr>
                <w:rFonts w:ascii="Arial" w:hAnsi="Arial" w:cs="Arial"/>
                <w:sz w:val="22"/>
              </w:rPr>
              <w:t>Tidak tahu, namun saya menduga berbeda</w:t>
            </w:r>
          </w:p>
        </w:tc>
        <w:tc>
          <w:tcPr>
            <w:tcW w:w="1260" w:type="dxa"/>
          </w:tcPr>
          <w:p>
            <w:pPr>
              <w:ind w:firstLine="0"/>
              <w:jc w:val="center"/>
              <w:rPr>
                <w:rFonts w:ascii="Arial" w:hAnsi="Arial" w:cs="Arial"/>
                <w:sz w:val="22"/>
              </w:rPr>
            </w:pPr>
            <w:r>
              <w:rPr>
                <w:rFonts w:ascii="Arial" w:hAnsi="Arial" w:cs="Arial"/>
                <w:sz w:val="22"/>
              </w:rPr>
              <w:t>d</w:t>
            </w:r>
          </w:p>
        </w:tc>
        <w:tc>
          <w:tcPr>
            <w:tcW w:w="1260" w:type="dxa"/>
          </w:tcPr>
          <w:p>
            <w:pPr>
              <w:ind w:firstLine="0"/>
              <w:jc w:val="center"/>
              <w:rPr>
                <w:rFonts w:ascii="Arial" w:hAnsi="Arial" w:cs="Arial"/>
                <w:sz w:val="22"/>
              </w:rPr>
            </w:pPr>
            <w:r>
              <w:rPr>
                <w:rFonts w:ascii="Arial" w:hAnsi="Arial" w:cs="Arial"/>
                <w:sz w:val="22"/>
              </w:rPr>
              <w:t>j</w:t>
            </w:r>
          </w:p>
        </w:tc>
      </w:tr>
      <w:tr>
        <w:trPr>
          <w:jc w:val="center"/>
        </w:trPr>
        <w:tc>
          <w:tcPr>
            <w:tcW w:w="4405" w:type="dxa"/>
          </w:tcPr>
          <w:p>
            <w:pPr>
              <w:ind w:firstLine="0"/>
              <w:jc w:val="center"/>
              <w:rPr>
                <w:rFonts w:ascii="Arial" w:hAnsi="Arial" w:cs="Arial"/>
                <w:sz w:val="22"/>
              </w:rPr>
            </w:pPr>
            <w:r>
              <w:rPr>
                <w:rFonts w:ascii="Arial" w:hAnsi="Arial" w:cs="Arial"/>
                <w:sz w:val="22"/>
              </w:rPr>
              <w:t>Berbeda, namun saya tidak terlalu yakin</w:t>
            </w:r>
          </w:p>
        </w:tc>
        <w:tc>
          <w:tcPr>
            <w:tcW w:w="1260" w:type="dxa"/>
          </w:tcPr>
          <w:p>
            <w:pPr>
              <w:ind w:firstLine="0"/>
              <w:jc w:val="center"/>
              <w:rPr>
                <w:rFonts w:ascii="Arial" w:hAnsi="Arial" w:cs="Arial"/>
                <w:sz w:val="22"/>
              </w:rPr>
            </w:pPr>
            <w:r>
              <w:rPr>
                <w:rFonts w:ascii="Arial" w:hAnsi="Arial" w:cs="Arial"/>
                <w:sz w:val="22"/>
              </w:rPr>
              <w:t>e</w:t>
            </w:r>
          </w:p>
        </w:tc>
        <w:tc>
          <w:tcPr>
            <w:tcW w:w="1260" w:type="dxa"/>
          </w:tcPr>
          <w:p>
            <w:pPr>
              <w:ind w:firstLine="0"/>
              <w:jc w:val="center"/>
              <w:rPr>
                <w:rFonts w:ascii="Arial" w:hAnsi="Arial" w:cs="Arial"/>
                <w:sz w:val="22"/>
              </w:rPr>
            </w:pPr>
            <w:r>
              <w:rPr>
                <w:rFonts w:ascii="Arial" w:hAnsi="Arial" w:cs="Arial"/>
                <w:sz w:val="22"/>
              </w:rPr>
              <w:t>k</w:t>
            </w:r>
          </w:p>
        </w:tc>
      </w:tr>
      <w:tr>
        <w:trPr>
          <w:jc w:val="center"/>
        </w:trPr>
        <w:tc>
          <w:tcPr>
            <w:tcW w:w="4405" w:type="dxa"/>
            <w:tcBorders>
              <w:bottom w:val="single" w:sz="4" w:space="0" w:color="auto"/>
            </w:tcBorders>
          </w:tcPr>
          <w:p>
            <w:pPr>
              <w:ind w:firstLine="0"/>
              <w:jc w:val="center"/>
              <w:rPr>
                <w:rFonts w:ascii="Arial" w:hAnsi="Arial" w:cs="Arial"/>
                <w:sz w:val="22"/>
              </w:rPr>
            </w:pPr>
            <w:r>
              <w:rPr>
                <w:rFonts w:ascii="Arial" w:hAnsi="Arial" w:cs="Arial"/>
                <w:sz w:val="22"/>
              </w:rPr>
              <w:t>Berbeda, dan saya yakin</w:t>
            </w:r>
          </w:p>
        </w:tc>
        <w:tc>
          <w:tcPr>
            <w:tcW w:w="1260" w:type="dxa"/>
            <w:tcBorders>
              <w:bottom w:val="single" w:sz="4" w:space="0" w:color="auto"/>
            </w:tcBorders>
          </w:tcPr>
          <w:p>
            <w:pPr>
              <w:ind w:firstLine="0"/>
              <w:jc w:val="center"/>
              <w:rPr>
                <w:rFonts w:ascii="Arial" w:hAnsi="Arial" w:cs="Arial"/>
                <w:sz w:val="22"/>
              </w:rPr>
            </w:pPr>
            <w:r>
              <w:rPr>
                <w:rFonts w:ascii="Arial" w:hAnsi="Arial" w:cs="Arial"/>
                <w:sz w:val="22"/>
              </w:rPr>
              <w:t>f</w:t>
            </w:r>
          </w:p>
        </w:tc>
        <w:tc>
          <w:tcPr>
            <w:tcW w:w="1260" w:type="dxa"/>
            <w:tcBorders>
              <w:bottom w:val="single" w:sz="4" w:space="0" w:color="auto"/>
            </w:tcBorders>
          </w:tcPr>
          <w:p>
            <w:pPr>
              <w:ind w:firstLine="0"/>
              <w:jc w:val="center"/>
              <w:rPr>
                <w:rFonts w:ascii="Arial" w:hAnsi="Arial" w:cs="Arial"/>
                <w:sz w:val="22"/>
              </w:rPr>
            </w:pPr>
            <w:r>
              <w:rPr>
                <w:rFonts w:ascii="Arial" w:hAnsi="Arial" w:cs="Arial"/>
                <w:sz w:val="22"/>
              </w:rPr>
              <w:t>l</w:t>
            </w:r>
          </w:p>
        </w:tc>
      </w:tr>
    </w:tbl>
    <w:p>
      <w:pPr>
        <w:ind w:firstLine="0"/>
        <w:rPr>
          <w:rFonts w:ascii="Arial" w:hAnsi="Arial" w:cs="Arial"/>
          <w:sz w:val="22"/>
          <w:szCs w:val="24"/>
        </w:rPr>
      </w:pPr>
    </w:p>
    <w:p>
      <w:pPr>
        <w:ind w:firstLine="720"/>
        <w:rPr>
          <w:rFonts w:ascii="Arial" w:hAnsi="Arial" w:cs="Arial"/>
          <w:sz w:val="22"/>
          <w:szCs w:val="24"/>
        </w:rPr>
      </w:pPr>
    </w:p>
    <w:p>
      <w:pPr>
        <w:ind w:left="900" w:hanging="900"/>
        <w:rPr>
          <w:rFonts w:ascii="Arial" w:hAnsi="Arial" w:cs="Arial"/>
          <w:sz w:val="22"/>
          <w:szCs w:val="24"/>
        </w:rPr>
      </w:pPr>
      <w:commentRangeStart w:id="56"/>
      <w:r>
        <w:rPr>
          <w:rFonts w:ascii="Arial" w:hAnsi="Arial" w:cs="Arial"/>
          <w:sz w:val="22"/>
          <w:szCs w:val="24"/>
        </w:rPr>
        <w:t xml:space="preserve">Tabel </w:t>
      </w:r>
      <w:commentRangeEnd w:id="56"/>
      <w:r>
        <w:rPr>
          <w:rStyle w:val="CommentReference"/>
        </w:rPr>
        <w:commentReference w:id="56"/>
      </w:r>
      <w:r>
        <w:rPr>
          <w:rFonts w:ascii="Arial" w:hAnsi="Arial" w:cs="Arial"/>
          <w:sz w:val="22"/>
          <w:szCs w:val="24"/>
        </w:rPr>
        <w:t>2  Hasil uji lanjut LSD Rank berbagai konsentrasi garam pada sampel sayur bayam bening</w:t>
      </w:r>
    </w:p>
    <w:tbl>
      <w:tblPr>
        <w:tblW w:w="7488" w:type="dxa"/>
        <w:tblLook w:val="04A0" w:firstRow="1" w:lastRow="0" w:firstColumn="1" w:lastColumn="0" w:noHBand="0" w:noVBand="1"/>
      </w:tblPr>
      <w:tblGrid>
        <w:gridCol w:w="3348"/>
        <w:gridCol w:w="4140"/>
      </w:tblGrid>
      <w:tr>
        <w:tc>
          <w:tcPr>
            <w:tcW w:w="3348" w:type="dxa"/>
            <w:tcBorders>
              <w:top w:val="single" w:sz="4" w:space="0" w:color="auto"/>
              <w:left w:val="nil"/>
              <w:bottom w:val="single" w:sz="4" w:space="0" w:color="auto"/>
              <w:right w:val="nil"/>
            </w:tcBorders>
          </w:tcPr>
          <w:p>
            <w:pPr>
              <w:ind w:firstLine="0"/>
              <w:jc w:val="center"/>
              <w:rPr>
                <w:rFonts w:ascii="Arial" w:hAnsi="Arial" w:cs="Arial"/>
                <w:sz w:val="22"/>
                <w:szCs w:val="24"/>
              </w:rPr>
            </w:pPr>
            <w:r>
              <w:rPr>
                <w:rFonts w:ascii="Arial" w:hAnsi="Arial" w:cs="Arial"/>
                <w:sz w:val="22"/>
                <w:szCs w:val="24"/>
              </w:rPr>
              <w:t>Konsentrasi Garam (g/100 mL)</w:t>
            </w:r>
          </w:p>
        </w:tc>
        <w:tc>
          <w:tcPr>
            <w:tcW w:w="4140" w:type="dxa"/>
            <w:tcBorders>
              <w:top w:val="single" w:sz="4" w:space="0" w:color="auto"/>
              <w:left w:val="nil"/>
              <w:bottom w:val="single" w:sz="4" w:space="0" w:color="auto"/>
              <w:right w:val="nil"/>
            </w:tcBorders>
          </w:tcPr>
          <w:p>
            <w:pPr>
              <w:ind w:firstLine="0"/>
              <w:jc w:val="center"/>
              <w:rPr>
                <w:rFonts w:ascii="Arial" w:hAnsi="Arial" w:cs="Arial"/>
                <w:sz w:val="22"/>
                <w:szCs w:val="24"/>
              </w:rPr>
            </w:pPr>
            <w:r>
              <w:rPr>
                <w:rFonts w:ascii="Arial" w:hAnsi="Arial" w:cs="Arial"/>
                <w:sz w:val="22"/>
                <w:szCs w:val="24"/>
              </w:rPr>
              <w:t>Nilai Jumlah Peringkat</w:t>
            </w:r>
          </w:p>
        </w:tc>
      </w:tr>
      <w:tr>
        <w:tc>
          <w:tcPr>
            <w:tcW w:w="3348" w:type="dxa"/>
            <w:tcBorders>
              <w:top w:val="single" w:sz="4" w:space="0" w:color="auto"/>
              <w:left w:val="nil"/>
              <w:bottom w:val="nil"/>
              <w:right w:val="nil"/>
            </w:tcBorders>
          </w:tcPr>
          <w:p>
            <w:pPr>
              <w:ind w:firstLine="0"/>
              <w:jc w:val="center"/>
              <w:rPr>
                <w:rFonts w:ascii="Arial" w:hAnsi="Arial" w:cs="Arial"/>
                <w:sz w:val="22"/>
                <w:szCs w:val="24"/>
              </w:rPr>
            </w:pPr>
            <w:r>
              <w:rPr>
                <w:rFonts w:ascii="Arial" w:hAnsi="Arial" w:cs="Arial"/>
                <w:sz w:val="22"/>
                <w:szCs w:val="24"/>
              </w:rPr>
              <w:t>0.48</w:t>
            </w:r>
          </w:p>
        </w:tc>
        <w:tc>
          <w:tcPr>
            <w:tcW w:w="4140" w:type="dxa"/>
            <w:tcBorders>
              <w:top w:val="single" w:sz="4" w:space="0" w:color="auto"/>
              <w:left w:val="nil"/>
              <w:bottom w:val="nil"/>
              <w:right w:val="nil"/>
            </w:tcBorders>
          </w:tcPr>
          <w:p>
            <w:pPr>
              <w:ind w:firstLine="0"/>
              <w:jc w:val="center"/>
              <w:rPr>
                <w:rFonts w:ascii="Arial" w:hAnsi="Arial" w:cs="Arial"/>
                <w:sz w:val="22"/>
                <w:szCs w:val="24"/>
              </w:rPr>
            </w:pPr>
            <w:r>
              <w:rPr>
                <w:rFonts w:ascii="Arial" w:hAnsi="Arial" w:cs="Arial"/>
                <w:sz w:val="22"/>
                <w:szCs w:val="24"/>
              </w:rPr>
              <w:t>68</w:t>
            </w:r>
            <w:r>
              <w:rPr>
                <w:rFonts w:ascii="Arial" w:eastAsia="Times New Roman" w:hAnsi="Arial" w:cs="Arial"/>
                <w:color w:val="000000"/>
                <w:sz w:val="22"/>
                <w:szCs w:val="24"/>
                <w:vertAlign w:val="superscript"/>
              </w:rPr>
              <w:t>a</w:t>
            </w:r>
          </w:p>
        </w:tc>
      </w:tr>
      <w:tr>
        <w:tc>
          <w:tcPr>
            <w:tcW w:w="3348"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0.42</w:t>
            </w:r>
          </w:p>
        </w:tc>
        <w:tc>
          <w:tcPr>
            <w:tcW w:w="4140"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69</w:t>
            </w:r>
            <w:r>
              <w:rPr>
                <w:rFonts w:ascii="Arial" w:eastAsia="Times New Roman" w:hAnsi="Arial" w:cs="Arial"/>
                <w:color w:val="000000"/>
                <w:sz w:val="22"/>
                <w:szCs w:val="24"/>
                <w:vertAlign w:val="superscript"/>
              </w:rPr>
              <w:t>a</w:t>
            </w:r>
          </w:p>
        </w:tc>
      </w:tr>
      <w:tr>
        <w:tc>
          <w:tcPr>
            <w:tcW w:w="3348"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0.36</w:t>
            </w:r>
          </w:p>
        </w:tc>
        <w:tc>
          <w:tcPr>
            <w:tcW w:w="4140"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92</w:t>
            </w:r>
            <w:r>
              <w:rPr>
                <w:rFonts w:ascii="Arial" w:eastAsia="Times New Roman" w:hAnsi="Arial" w:cs="Arial"/>
                <w:color w:val="000000"/>
                <w:sz w:val="22"/>
                <w:szCs w:val="24"/>
                <w:vertAlign w:val="superscript"/>
              </w:rPr>
              <w:t>a,b</w:t>
            </w:r>
          </w:p>
        </w:tc>
      </w:tr>
      <w:tr>
        <w:tc>
          <w:tcPr>
            <w:tcW w:w="3348"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0.30</w:t>
            </w:r>
          </w:p>
        </w:tc>
        <w:tc>
          <w:tcPr>
            <w:tcW w:w="4140" w:type="dxa"/>
            <w:tcBorders>
              <w:top w:val="nil"/>
              <w:left w:val="nil"/>
              <w:bottom w:val="nil"/>
              <w:right w:val="nil"/>
            </w:tcBorders>
          </w:tcPr>
          <w:p>
            <w:pPr>
              <w:ind w:firstLine="0"/>
              <w:jc w:val="center"/>
              <w:rPr>
                <w:rFonts w:ascii="Arial" w:hAnsi="Arial" w:cs="Arial"/>
                <w:sz w:val="22"/>
                <w:szCs w:val="24"/>
              </w:rPr>
            </w:pPr>
            <w:r>
              <w:rPr>
                <w:rFonts w:ascii="Arial" w:hAnsi="Arial" w:cs="Arial"/>
                <w:sz w:val="22"/>
                <w:szCs w:val="24"/>
              </w:rPr>
              <w:t>109</w:t>
            </w:r>
            <w:r>
              <w:rPr>
                <w:rFonts w:ascii="Arial" w:eastAsia="Times New Roman" w:hAnsi="Arial" w:cs="Arial"/>
                <w:color w:val="000000"/>
                <w:sz w:val="22"/>
                <w:szCs w:val="24"/>
                <w:vertAlign w:val="superscript"/>
              </w:rPr>
              <w:t>b</w:t>
            </w:r>
          </w:p>
        </w:tc>
      </w:tr>
      <w:tr>
        <w:tc>
          <w:tcPr>
            <w:tcW w:w="3348" w:type="dxa"/>
            <w:tcBorders>
              <w:top w:val="nil"/>
              <w:left w:val="nil"/>
              <w:bottom w:val="single" w:sz="4" w:space="0" w:color="auto"/>
              <w:right w:val="nil"/>
            </w:tcBorders>
          </w:tcPr>
          <w:p>
            <w:pPr>
              <w:ind w:firstLine="0"/>
              <w:jc w:val="center"/>
              <w:rPr>
                <w:rFonts w:ascii="Arial" w:hAnsi="Arial" w:cs="Arial"/>
                <w:sz w:val="22"/>
                <w:szCs w:val="24"/>
              </w:rPr>
            </w:pPr>
            <w:r>
              <w:rPr>
                <w:rFonts w:ascii="Arial" w:hAnsi="Arial" w:cs="Arial"/>
                <w:sz w:val="22"/>
                <w:szCs w:val="24"/>
              </w:rPr>
              <w:t>0.24</w:t>
            </w:r>
          </w:p>
        </w:tc>
        <w:tc>
          <w:tcPr>
            <w:tcW w:w="4140" w:type="dxa"/>
            <w:tcBorders>
              <w:top w:val="nil"/>
              <w:left w:val="nil"/>
              <w:bottom w:val="single" w:sz="4" w:space="0" w:color="auto"/>
              <w:right w:val="nil"/>
            </w:tcBorders>
          </w:tcPr>
          <w:p>
            <w:pPr>
              <w:ind w:firstLine="0"/>
              <w:jc w:val="center"/>
              <w:rPr>
                <w:rFonts w:ascii="Arial" w:hAnsi="Arial" w:cs="Arial"/>
                <w:sz w:val="22"/>
                <w:szCs w:val="24"/>
              </w:rPr>
            </w:pPr>
            <w:r>
              <w:rPr>
                <w:rFonts w:ascii="Arial" w:hAnsi="Arial" w:cs="Arial"/>
                <w:sz w:val="22"/>
                <w:szCs w:val="24"/>
              </w:rPr>
              <w:t>112</w:t>
            </w:r>
            <w:r>
              <w:rPr>
                <w:rFonts w:ascii="Arial" w:eastAsia="Times New Roman" w:hAnsi="Arial" w:cs="Arial"/>
                <w:color w:val="000000"/>
                <w:sz w:val="22"/>
                <w:szCs w:val="24"/>
                <w:vertAlign w:val="superscript"/>
              </w:rPr>
              <w:t>b</w:t>
            </w:r>
          </w:p>
        </w:tc>
      </w:tr>
    </w:tbl>
    <w:p>
      <w:pPr>
        <w:ind w:firstLine="0"/>
        <w:rPr>
          <w:rFonts w:ascii="Arial" w:hAnsi="Arial" w:cs="Arial"/>
          <w:sz w:val="22"/>
          <w:szCs w:val="24"/>
        </w:rPr>
      </w:pPr>
      <w:r>
        <w:rPr>
          <w:rFonts w:ascii="Arial" w:hAnsi="Arial" w:cs="Arial"/>
          <w:sz w:val="22"/>
          <w:szCs w:val="24"/>
        </w:rPr>
        <w:t>Ket: Angka-angka pada kolom yang sama yang diikuti oleh huruf yang sama tidak berbeda nyata pada taraf uji 5%.</w:t>
      </w:r>
    </w:p>
    <w:p>
      <w:pPr>
        <w:ind w:firstLine="0"/>
        <w:rPr>
          <w:rFonts w:ascii="Arial" w:hAnsi="Arial" w:cs="Arial"/>
          <w:sz w:val="22"/>
          <w:szCs w:val="24"/>
        </w:rPr>
      </w:pPr>
    </w:p>
    <w:p>
      <w:pPr>
        <w:ind w:left="900" w:hanging="900"/>
        <w:rPr>
          <w:rFonts w:ascii="Arial" w:hAnsi="Arial" w:cs="Arial"/>
          <w:sz w:val="22"/>
          <w:szCs w:val="24"/>
          <w:lang/>
        </w:rPr>
      </w:pPr>
      <w:r>
        <w:rPr>
          <w:rFonts w:ascii="Arial" w:hAnsi="Arial" w:cs="Arial"/>
          <w:sz w:val="22"/>
          <w:szCs w:val="24"/>
          <w:lang/>
        </w:rPr>
        <w:t>Tabel 3 Nilai koefisien/slope, intersep, R</w:t>
      </w:r>
      <w:r>
        <w:rPr>
          <w:rFonts w:ascii="Arial" w:hAnsi="Arial" w:cs="Arial"/>
          <w:sz w:val="22"/>
          <w:szCs w:val="24"/>
          <w:vertAlign w:val="superscript"/>
          <w:lang/>
        </w:rPr>
        <w:t>2</w:t>
      </w:r>
      <w:r>
        <w:rPr>
          <w:rFonts w:ascii="Arial" w:hAnsi="Arial" w:cs="Arial"/>
          <w:sz w:val="22"/>
          <w:szCs w:val="24"/>
          <w:lang/>
        </w:rPr>
        <w:t>, dan persamaan regresi dengan persamaan Steven dan Fechner</w:t>
      </w:r>
    </w:p>
    <w:tbl>
      <w:tblPr>
        <w:tblW w:w="7415" w:type="dxa"/>
        <w:jc w:val="center"/>
        <w:tblBorders>
          <w:top w:val="single" w:sz="4" w:space="0" w:color="auto"/>
          <w:bottom w:val="single" w:sz="4" w:space="0" w:color="auto"/>
        </w:tblBorders>
        <w:tblLayout w:type="fixed"/>
        <w:tblLook w:val="04A0" w:firstRow="1" w:lastRow="0" w:firstColumn="1" w:lastColumn="0" w:noHBand="0" w:noVBand="1"/>
      </w:tblPr>
      <w:tblGrid>
        <w:gridCol w:w="2180"/>
        <w:gridCol w:w="1170"/>
        <w:gridCol w:w="1080"/>
        <w:gridCol w:w="900"/>
        <w:gridCol w:w="2085"/>
      </w:tblGrid>
      <w:tr>
        <w:trPr>
          <w:trHeight w:val="343"/>
          <w:jc w:val="center"/>
        </w:trPr>
        <w:tc>
          <w:tcPr>
            <w:tcW w:w="2180" w:type="dxa"/>
            <w:tcBorders>
              <w:top w:val="single" w:sz="4" w:space="0" w:color="auto"/>
              <w:bottom w:val="single" w:sz="4" w:space="0" w:color="auto"/>
            </w:tcBorders>
          </w:tcPr>
          <w:p>
            <w:pPr>
              <w:ind w:right="-292" w:firstLine="0"/>
              <w:rPr>
                <w:rFonts w:ascii="Arial" w:hAnsi="Arial" w:cs="Arial"/>
                <w:sz w:val="22"/>
                <w:szCs w:val="24"/>
                <w:lang/>
              </w:rPr>
            </w:pPr>
            <w:r>
              <w:rPr>
                <w:rFonts w:ascii="Arial" w:hAnsi="Arial" w:cs="Arial"/>
                <w:sz w:val="22"/>
                <w:szCs w:val="24"/>
                <w:lang/>
              </w:rPr>
              <w:t>Konsentrasi Garam</w:t>
            </w:r>
          </w:p>
          <w:p>
            <w:pPr>
              <w:ind w:right="-292" w:firstLine="0"/>
              <w:jc w:val="center"/>
              <w:rPr>
                <w:rFonts w:ascii="Arial" w:hAnsi="Arial" w:cs="Arial"/>
                <w:sz w:val="22"/>
                <w:szCs w:val="24"/>
                <w:lang/>
              </w:rPr>
            </w:pPr>
            <w:r>
              <w:rPr>
                <w:rFonts w:ascii="Arial" w:hAnsi="Arial" w:cs="Arial"/>
                <w:sz w:val="22"/>
                <w:szCs w:val="24"/>
                <w:lang/>
              </w:rPr>
              <w:t>(</w:t>
            </w:r>
            <w:r>
              <w:rPr>
                <w:rFonts w:ascii="Arial" w:hAnsi="Arial" w:cs="Arial"/>
                <w:sz w:val="22"/>
                <w:szCs w:val="24"/>
              </w:rPr>
              <w:t>g/100 mL</w:t>
            </w:r>
            <w:r>
              <w:rPr>
                <w:rFonts w:ascii="Arial" w:hAnsi="Arial" w:cs="Arial"/>
                <w:sz w:val="22"/>
                <w:szCs w:val="24"/>
                <w:lang/>
              </w:rPr>
              <w:t>)</w:t>
            </w:r>
          </w:p>
        </w:tc>
        <w:tc>
          <w:tcPr>
            <w:tcW w:w="1170"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Koefisien/Slope</w:t>
            </w:r>
          </w:p>
        </w:tc>
        <w:tc>
          <w:tcPr>
            <w:tcW w:w="1080"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Intersep</w:t>
            </w:r>
          </w:p>
        </w:tc>
        <w:tc>
          <w:tcPr>
            <w:tcW w:w="900"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R</w:t>
            </w:r>
            <w:r>
              <w:rPr>
                <w:rFonts w:ascii="Arial" w:hAnsi="Arial" w:cs="Arial"/>
                <w:sz w:val="22"/>
                <w:szCs w:val="24"/>
                <w:vertAlign w:val="superscript"/>
                <w:lang/>
              </w:rPr>
              <w:t>2</w:t>
            </w:r>
          </w:p>
        </w:tc>
        <w:tc>
          <w:tcPr>
            <w:tcW w:w="2085"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Persamaan</w:t>
            </w:r>
          </w:p>
          <w:p>
            <w:pPr>
              <w:ind w:firstLine="0"/>
              <w:jc w:val="center"/>
              <w:rPr>
                <w:rFonts w:ascii="Arial" w:hAnsi="Arial" w:cs="Arial"/>
                <w:sz w:val="22"/>
                <w:szCs w:val="24"/>
                <w:lang/>
              </w:rPr>
            </w:pPr>
            <w:r>
              <w:rPr>
                <w:rFonts w:ascii="Arial" w:hAnsi="Arial" w:cs="Arial"/>
                <w:sz w:val="22"/>
                <w:szCs w:val="24"/>
                <w:lang/>
              </w:rPr>
              <w:t>Regresi</w:t>
            </w:r>
          </w:p>
        </w:tc>
      </w:tr>
      <w:tr>
        <w:trPr>
          <w:trHeight w:val="374"/>
          <w:jc w:val="center"/>
        </w:trPr>
        <w:tc>
          <w:tcPr>
            <w:tcW w:w="2180" w:type="dxa"/>
            <w:tcBorders>
              <w:top w:val="single" w:sz="4" w:space="0" w:color="auto"/>
              <w:bottom w:val="nil"/>
            </w:tcBorders>
          </w:tcPr>
          <w:p>
            <w:pPr>
              <w:ind w:firstLine="0"/>
              <w:jc w:val="center"/>
              <w:rPr>
                <w:rFonts w:ascii="Arial" w:hAnsi="Arial" w:cs="Arial"/>
                <w:sz w:val="22"/>
                <w:szCs w:val="24"/>
                <w:lang/>
              </w:rPr>
            </w:pPr>
            <w:r>
              <w:rPr>
                <w:rFonts w:ascii="Arial" w:hAnsi="Arial" w:cs="Arial"/>
                <w:sz w:val="22"/>
                <w:szCs w:val="24"/>
                <w:lang/>
              </w:rPr>
              <w:t>0.30 (Steven)</w:t>
            </w:r>
          </w:p>
        </w:tc>
        <w:tc>
          <w:tcPr>
            <w:tcW w:w="1170" w:type="dxa"/>
            <w:tcBorders>
              <w:top w:val="single" w:sz="4" w:space="0" w:color="auto"/>
              <w:bottom w:val="nil"/>
            </w:tcBorders>
          </w:tcPr>
          <w:p>
            <w:pPr>
              <w:ind w:firstLine="0"/>
              <w:jc w:val="center"/>
              <w:rPr>
                <w:rFonts w:ascii="Arial" w:hAnsi="Arial" w:cs="Arial"/>
                <w:sz w:val="22"/>
                <w:szCs w:val="24"/>
                <w:lang/>
              </w:rPr>
            </w:pPr>
            <w:r>
              <w:rPr>
                <w:rFonts w:ascii="Arial" w:hAnsi="Arial" w:cs="Arial"/>
                <w:sz w:val="22"/>
                <w:szCs w:val="24"/>
                <w:lang/>
              </w:rPr>
              <w:t>0.0559</w:t>
            </w:r>
          </w:p>
        </w:tc>
        <w:tc>
          <w:tcPr>
            <w:tcW w:w="1080" w:type="dxa"/>
            <w:tcBorders>
              <w:top w:val="single" w:sz="4" w:space="0" w:color="auto"/>
              <w:bottom w:val="nil"/>
            </w:tcBorders>
          </w:tcPr>
          <w:p>
            <w:pPr>
              <w:ind w:firstLine="0"/>
              <w:jc w:val="center"/>
              <w:rPr>
                <w:rFonts w:ascii="Arial" w:hAnsi="Arial" w:cs="Arial"/>
                <w:sz w:val="22"/>
                <w:szCs w:val="24"/>
                <w:lang/>
              </w:rPr>
            </w:pPr>
            <w:r>
              <w:rPr>
                <w:rFonts w:ascii="Arial" w:hAnsi="Arial" w:cs="Arial"/>
                <w:sz w:val="22"/>
                <w:szCs w:val="24"/>
                <w:lang/>
              </w:rPr>
              <w:t>0.7046</w:t>
            </w:r>
          </w:p>
        </w:tc>
        <w:tc>
          <w:tcPr>
            <w:tcW w:w="900" w:type="dxa"/>
            <w:tcBorders>
              <w:top w:val="single" w:sz="4" w:space="0" w:color="auto"/>
              <w:bottom w:val="nil"/>
            </w:tcBorders>
          </w:tcPr>
          <w:p>
            <w:pPr>
              <w:ind w:firstLine="0"/>
              <w:jc w:val="center"/>
              <w:rPr>
                <w:rFonts w:ascii="Arial" w:hAnsi="Arial" w:cs="Arial"/>
                <w:sz w:val="22"/>
                <w:szCs w:val="24"/>
                <w:lang/>
              </w:rPr>
            </w:pPr>
            <w:r>
              <w:rPr>
                <w:rFonts w:ascii="Arial" w:hAnsi="Arial" w:cs="Arial"/>
                <w:sz w:val="22"/>
                <w:szCs w:val="24"/>
                <w:lang/>
              </w:rPr>
              <w:t>0.7871</w:t>
            </w:r>
          </w:p>
        </w:tc>
        <w:tc>
          <w:tcPr>
            <w:tcW w:w="2085" w:type="dxa"/>
            <w:tcBorders>
              <w:top w:val="single" w:sz="4" w:space="0" w:color="auto"/>
              <w:bottom w:val="nil"/>
            </w:tcBorders>
          </w:tcPr>
          <w:p>
            <w:pPr>
              <w:ind w:firstLine="0"/>
              <w:jc w:val="center"/>
              <w:rPr>
                <w:rFonts w:ascii="Arial" w:hAnsi="Arial" w:cs="Arial"/>
                <w:sz w:val="22"/>
                <w:szCs w:val="24"/>
                <w:lang/>
              </w:rPr>
            </w:pPr>
            <w:r>
              <w:rPr>
                <w:rFonts w:ascii="Arial" w:hAnsi="Arial" w:cs="Arial"/>
                <w:sz w:val="22"/>
                <w:szCs w:val="24"/>
                <w:lang/>
              </w:rPr>
              <w:t>y=0.0559x+0.7046</w:t>
            </w:r>
          </w:p>
        </w:tc>
      </w:tr>
      <w:tr>
        <w:trPr>
          <w:trHeight w:val="374"/>
          <w:jc w:val="center"/>
        </w:trPr>
        <w:tc>
          <w:tcPr>
            <w:tcW w:w="2180" w:type="dxa"/>
            <w:tcBorders>
              <w:top w:val="nil"/>
              <w:bottom w:val="single" w:sz="4" w:space="0" w:color="auto"/>
            </w:tcBorders>
          </w:tcPr>
          <w:p>
            <w:pPr>
              <w:ind w:firstLine="0"/>
              <w:jc w:val="center"/>
              <w:rPr>
                <w:rFonts w:ascii="Arial" w:hAnsi="Arial" w:cs="Arial"/>
                <w:sz w:val="22"/>
                <w:szCs w:val="24"/>
                <w:lang/>
              </w:rPr>
            </w:pPr>
            <w:r>
              <w:rPr>
                <w:rFonts w:ascii="Arial" w:hAnsi="Arial" w:cs="Arial"/>
                <w:sz w:val="22"/>
                <w:szCs w:val="24"/>
                <w:lang/>
              </w:rPr>
              <w:t>0.30 (Fechner)</w:t>
            </w:r>
          </w:p>
        </w:tc>
        <w:tc>
          <w:tcPr>
            <w:tcW w:w="1170" w:type="dxa"/>
            <w:tcBorders>
              <w:top w:val="nil"/>
              <w:bottom w:val="single" w:sz="4" w:space="0" w:color="auto"/>
            </w:tcBorders>
          </w:tcPr>
          <w:p>
            <w:pPr>
              <w:ind w:firstLine="0"/>
              <w:jc w:val="center"/>
              <w:rPr>
                <w:rFonts w:ascii="Arial" w:hAnsi="Arial" w:cs="Arial"/>
                <w:sz w:val="22"/>
                <w:szCs w:val="24"/>
                <w:lang/>
              </w:rPr>
            </w:pPr>
            <w:r>
              <w:rPr>
                <w:rFonts w:ascii="Arial" w:hAnsi="Arial" w:cs="Arial"/>
                <w:sz w:val="22"/>
                <w:szCs w:val="24"/>
                <w:lang/>
              </w:rPr>
              <w:t>0.6212</w:t>
            </w:r>
          </w:p>
        </w:tc>
        <w:tc>
          <w:tcPr>
            <w:tcW w:w="1080" w:type="dxa"/>
            <w:tcBorders>
              <w:top w:val="nil"/>
              <w:bottom w:val="single" w:sz="4" w:space="0" w:color="auto"/>
            </w:tcBorders>
          </w:tcPr>
          <w:p>
            <w:pPr>
              <w:ind w:firstLine="0"/>
              <w:jc w:val="center"/>
              <w:rPr>
                <w:rFonts w:ascii="Arial" w:hAnsi="Arial" w:cs="Arial"/>
                <w:sz w:val="22"/>
                <w:szCs w:val="24"/>
                <w:lang/>
              </w:rPr>
            </w:pPr>
            <w:r>
              <w:rPr>
                <w:rFonts w:ascii="Arial" w:hAnsi="Arial" w:cs="Arial"/>
                <w:sz w:val="22"/>
                <w:szCs w:val="24"/>
                <w:lang/>
              </w:rPr>
              <w:t>5.3734</w:t>
            </w:r>
          </w:p>
        </w:tc>
        <w:tc>
          <w:tcPr>
            <w:tcW w:w="900" w:type="dxa"/>
            <w:tcBorders>
              <w:top w:val="nil"/>
              <w:bottom w:val="single" w:sz="4" w:space="0" w:color="auto"/>
            </w:tcBorders>
          </w:tcPr>
          <w:p>
            <w:pPr>
              <w:ind w:firstLine="0"/>
              <w:jc w:val="center"/>
              <w:rPr>
                <w:rFonts w:ascii="Arial" w:hAnsi="Arial" w:cs="Arial"/>
                <w:sz w:val="22"/>
                <w:szCs w:val="24"/>
                <w:lang/>
              </w:rPr>
            </w:pPr>
            <w:r>
              <w:rPr>
                <w:rFonts w:ascii="Arial" w:hAnsi="Arial" w:cs="Arial"/>
                <w:sz w:val="22"/>
                <w:szCs w:val="24"/>
                <w:lang/>
              </w:rPr>
              <w:t>0.882</w:t>
            </w:r>
          </w:p>
        </w:tc>
        <w:tc>
          <w:tcPr>
            <w:tcW w:w="2085" w:type="dxa"/>
            <w:tcBorders>
              <w:top w:val="nil"/>
              <w:bottom w:val="single" w:sz="4" w:space="0" w:color="auto"/>
            </w:tcBorders>
          </w:tcPr>
          <w:p>
            <w:pPr>
              <w:ind w:firstLine="0"/>
              <w:jc w:val="center"/>
              <w:rPr>
                <w:rFonts w:ascii="Arial" w:hAnsi="Arial" w:cs="Arial"/>
                <w:sz w:val="22"/>
                <w:szCs w:val="24"/>
                <w:lang/>
              </w:rPr>
            </w:pPr>
            <w:r>
              <w:rPr>
                <w:rFonts w:ascii="Arial" w:hAnsi="Arial" w:cs="Arial"/>
                <w:sz w:val="22"/>
                <w:szCs w:val="24"/>
                <w:lang/>
              </w:rPr>
              <w:t>y=0.6212x+5.3734</w:t>
            </w:r>
          </w:p>
        </w:tc>
      </w:tr>
      <w:tr>
        <w:trPr>
          <w:trHeight w:val="374"/>
          <w:jc w:val="center"/>
        </w:trPr>
        <w:tc>
          <w:tcPr>
            <w:tcW w:w="2180"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0.42 (Steven)</w:t>
            </w:r>
          </w:p>
        </w:tc>
        <w:tc>
          <w:tcPr>
            <w:tcW w:w="1170"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0.0461</w:t>
            </w:r>
          </w:p>
        </w:tc>
        <w:tc>
          <w:tcPr>
            <w:tcW w:w="1080"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0.7312</w:t>
            </w:r>
          </w:p>
        </w:tc>
        <w:tc>
          <w:tcPr>
            <w:tcW w:w="900"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0.7447</w:t>
            </w:r>
          </w:p>
        </w:tc>
        <w:tc>
          <w:tcPr>
            <w:tcW w:w="2085"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y=0.0461x+0.7447</w:t>
            </w:r>
          </w:p>
        </w:tc>
      </w:tr>
      <w:tr>
        <w:trPr>
          <w:trHeight w:val="374"/>
          <w:jc w:val="center"/>
        </w:trPr>
        <w:tc>
          <w:tcPr>
            <w:tcW w:w="2180" w:type="dxa"/>
          </w:tcPr>
          <w:p>
            <w:pPr>
              <w:ind w:firstLine="0"/>
              <w:jc w:val="center"/>
              <w:rPr>
                <w:rFonts w:ascii="Arial" w:hAnsi="Arial" w:cs="Arial"/>
                <w:sz w:val="22"/>
                <w:szCs w:val="24"/>
                <w:lang/>
              </w:rPr>
            </w:pPr>
            <w:r>
              <w:rPr>
                <w:rFonts w:ascii="Arial" w:hAnsi="Arial" w:cs="Arial"/>
                <w:sz w:val="22"/>
                <w:szCs w:val="24"/>
                <w:lang/>
              </w:rPr>
              <w:t>0.42 (Fechner)</w:t>
            </w:r>
          </w:p>
        </w:tc>
        <w:tc>
          <w:tcPr>
            <w:tcW w:w="1170" w:type="dxa"/>
          </w:tcPr>
          <w:p>
            <w:pPr>
              <w:ind w:firstLine="0"/>
              <w:jc w:val="center"/>
              <w:rPr>
                <w:rFonts w:ascii="Arial" w:hAnsi="Arial" w:cs="Arial"/>
                <w:sz w:val="22"/>
                <w:szCs w:val="24"/>
                <w:lang/>
              </w:rPr>
            </w:pPr>
            <w:r>
              <w:rPr>
                <w:rFonts w:ascii="Arial" w:hAnsi="Arial" w:cs="Arial"/>
                <w:sz w:val="22"/>
                <w:szCs w:val="24"/>
                <w:lang/>
              </w:rPr>
              <w:t>0.5813</w:t>
            </w:r>
          </w:p>
        </w:tc>
        <w:tc>
          <w:tcPr>
            <w:tcW w:w="1080" w:type="dxa"/>
          </w:tcPr>
          <w:p>
            <w:pPr>
              <w:ind w:firstLine="0"/>
              <w:jc w:val="center"/>
              <w:rPr>
                <w:rFonts w:ascii="Arial" w:hAnsi="Arial" w:cs="Arial"/>
                <w:sz w:val="22"/>
                <w:szCs w:val="24"/>
                <w:lang/>
              </w:rPr>
            </w:pPr>
            <w:r>
              <w:rPr>
                <w:rFonts w:ascii="Arial" w:hAnsi="Arial" w:cs="Arial"/>
                <w:sz w:val="22"/>
                <w:szCs w:val="24"/>
                <w:lang/>
              </w:rPr>
              <w:t>5.6937</w:t>
            </w:r>
          </w:p>
        </w:tc>
        <w:tc>
          <w:tcPr>
            <w:tcW w:w="900" w:type="dxa"/>
          </w:tcPr>
          <w:p>
            <w:pPr>
              <w:ind w:firstLine="0"/>
              <w:jc w:val="center"/>
              <w:rPr>
                <w:rFonts w:ascii="Arial" w:hAnsi="Arial" w:cs="Arial"/>
                <w:sz w:val="22"/>
                <w:szCs w:val="24"/>
                <w:lang/>
              </w:rPr>
            </w:pPr>
            <w:r>
              <w:rPr>
                <w:rFonts w:ascii="Arial" w:hAnsi="Arial" w:cs="Arial"/>
                <w:sz w:val="22"/>
                <w:szCs w:val="24"/>
                <w:lang/>
              </w:rPr>
              <w:t>0.8471</w:t>
            </w:r>
          </w:p>
        </w:tc>
        <w:tc>
          <w:tcPr>
            <w:tcW w:w="2085" w:type="dxa"/>
          </w:tcPr>
          <w:p>
            <w:pPr>
              <w:ind w:firstLine="0"/>
              <w:jc w:val="center"/>
              <w:rPr>
                <w:rFonts w:ascii="Arial" w:hAnsi="Arial" w:cs="Arial"/>
                <w:sz w:val="22"/>
                <w:szCs w:val="24"/>
                <w:lang/>
              </w:rPr>
            </w:pPr>
            <w:r>
              <w:rPr>
                <w:rFonts w:ascii="Arial" w:hAnsi="Arial" w:cs="Arial"/>
                <w:sz w:val="22"/>
                <w:szCs w:val="24"/>
                <w:lang/>
              </w:rPr>
              <w:t>y=0.5813x+5.6937</w:t>
            </w:r>
          </w:p>
        </w:tc>
      </w:tr>
    </w:tbl>
    <w:p>
      <w:pPr>
        <w:ind w:firstLine="0"/>
        <w:rPr>
          <w:rFonts w:ascii="Arial" w:hAnsi="Arial" w:cs="Arial"/>
          <w:sz w:val="22"/>
          <w:szCs w:val="24"/>
          <w:lang/>
        </w:rPr>
      </w:pPr>
    </w:p>
    <w:p>
      <w:pPr>
        <w:ind w:firstLine="0"/>
        <w:rPr>
          <w:rFonts w:ascii="Arial" w:hAnsi="Arial" w:cs="Arial"/>
          <w:sz w:val="22"/>
          <w:szCs w:val="24"/>
          <w:lang/>
        </w:rPr>
      </w:pPr>
    </w:p>
    <w:p>
      <w:pPr>
        <w:ind w:left="900" w:hanging="900"/>
        <w:rPr>
          <w:rFonts w:ascii="Arial" w:hAnsi="Arial" w:cs="Arial"/>
          <w:sz w:val="22"/>
          <w:szCs w:val="24"/>
          <w:lang/>
        </w:rPr>
      </w:pPr>
      <w:commentRangeStart w:id="57"/>
      <w:r>
        <w:rPr>
          <w:rFonts w:ascii="Arial" w:hAnsi="Arial" w:cs="Arial"/>
          <w:sz w:val="22"/>
          <w:szCs w:val="24"/>
          <w:lang/>
        </w:rPr>
        <w:t xml:space="preserve">Tabel </w:t>
      </w:r>
      <w:commentRangeEnd w:id="57"/>
      <w:r>
        <w:rPr>
          <w:rStyle w:val="CommentReference"/>
        </w:rPr>
        <w:commentReference w:id="57"/>
      </w:r>
      <w:r>
        <w:rPr>
          <w:rFonts w:ascii="Arial" w:hAnsi="Arial" w:cs="Arial"/>
          <w:sz w:val="22"/>
          <w:szCs w:val="24"/>
          <w:lang/>
        </w:rPr>
        <w:t>4 Nilai ambang preferensi rasa umami MSG dari kurva preferensi, persamaan Steven, dan persamaan Fechner dalam g MSG/100 mL</w:t>
      </w:r>
    </w:p>
    <w:tbl>
      <w:tblPr>
        <w:tblW w:w="7206" w:type="dxa"/>
        <w:jc w:val="center"/>
        <w:tblBorders>
          <w:top w:val="single" w:sz="4" w:space="0" w:color="auto"/>
          <w:bottom w:val="single" w:sz="4" w:space="0" w:color="auto"/>
        </w:tblBorders>
        <w:tblLook w:val="04A0" w:firstRow="1" w:lastRow="0" w:firstColumn="1" w:lastColumn="0" w:noHBand="0" w:noVBand="1"/>
      </w:tblPr>
      <w:tblGrid>
        <w:gridCol w:w="2161"/>
        <w:gridCol w:w="1624"/>
        <w:gridCol w:w="1697"/>
        <w:gridCol w:w="1724"/>
      </w:tblGrid>
      <w:tr>
        <w:trPr>
          <w:trHeight w:val="284"/>
          <w:jc w:val="center"/>
        </w:trPr>
        <w:tc>
          <w:tcPr>
            <w:tcW w:w="2161"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Konsentrasi Garam (</w:t>
            </w:r>
            <w:r>
              <w:rPr>
                <w:rFonts w:ascii="Arial" w:hAnsi="Arial" w:cs="Arial"/>
                <w:sz w:val="22"/>
                <w:szCs w:val="24"/>
              </w:rPr>
              <w:t>g/100 mL</w:t>
            </w:r>
            <w:r>
              <w:rPr>
                <w:rFonts w:ascii="Arial" w:hAnsi="Arial" w:cs="Arial"/>
                <w:sz w:val="22"/>
                <w:szCs w:val="24"/>
                <w:lang/>
              </w:rPr>
              <w:t>)</w:t>
            </w:r>
          </w:p>
        </w:tc>
        <w:tc>
          <w:tcPr>
            <w:tcW w:w="1624"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Kurva Preferensi</w:t>
            </w:r>
          </w:p>
        </w:tc>
        <w:tc>
          <w:tcPr>
            <w:tcW w:w="1697"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Persamaan Steven</w:t>
            </w:r>
          </w:p>
        </w:tc>
        <w:tc>
          <w:tcPr>
            <w:tcW w:w="1724" w:type="dxa"/>
            <w:tcBorders>
              <w:top w:val="single" w:sz="4" w:space="0" w:color="auto"/>
              <w:bottom w:val="single" w:sz="4" w:space="0" w:color="auto"/>
            </w:tcBorders>
          </w:tcPr>
          <w:p>
            <w:pPr>
              <w:ind w:firstLine="0"/>
              <w:jc w:val="center"/>
              <w:rPr>
                <w:rFonts w:ascii="Arial" w:hAnsi="Arial" w:cs="Arial"/>
                <w:sz w:val="22"/>
                <w:szCs w:val="24"/>
                <w:lang/>
              </w:rPr>
            </w:pPr>
            <w:r>
              <w:rPr>
                <w:rFonts w:ascii="Arial" w:hAnsi="Arial" w:cs="Arial"/>
                <w:sz w:val="22"/>
                <w:szCs w:val="24"/>
                <w:lang/>
              </w:rPr>
              <w:t>Persamaan Fechner</w:t>
            </w:r>
          </w:p>
        </w:tc>
      </w:tr>
      <w:tr>
        <w:trPr>
          <w:trHeight w:val="306"/>
          <w:jc w:val="center"/>
        </w:trPr>
        <w:tc>
          <w:tcPr>
            <w:tcW w:w="2161"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0.30</w:t>
            </w:r>
          </w:p>
        </w:tc>
        <w:tc>
          <w:tcPr>
            <w:tcW w:w="1624"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0.16</w:t>
            </w:r>
          </w:p>
        </w:tc>
        <w:tc>
          <w:tcPr>
            <w:tcW w:w="1697"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0.79</w:t>
            </w:r>
          </w:p>
        </w:tc>
        <w:tc>
          <w:tcPr>
            <w:tcW w:w="1724" w:type="dxa"/>
            <w:tcBorders>
              <w:top w:val="single" w:sz="4" w:space="0" w:color="auto"/>
            </w:tcBorders>
          </w:tcPr>
          <w:p>
            <w:pPr>
              <w:ind w:firstLine="0"/>
              <w:jc w:val="center"/>
              <w:rPr>
                <w:rFonts w:ascii="Arial" w:hAnsi="Arial" w:cs="Arial"/>
                <w:sz w:val="22"/>
                <w:szCs w:val="24"/>
                <w:lang/>
              </w:rPr>
            </w:pPr>
            <w:r>
              <w:rPr>
                <w:rFonts w:ascii="Arial" w:hAnsi="Arial" w:cs="Arial"/>
                <w:sz w:val="22"/>
                <w:szCs w:val="24"/>
                <w:lang/>
              </w:rPr>
              <w:t>0.25</w:t>
            </w:r>
          </w:p>
        </w:tc>
      </w:tr>
      <w:tr>
        <w:trPr>
          <w:trHeight w:val="306"/>
          <w:jc w:val="center"/>
        </w:trPr>
        <w:tc>
          <w:tcPr>
            <w:tcW w:w="2161" w:type="dxa"/>
          </w:tcPr>
          <w:p>
            <w:pPr>
              <w:ind w:firstLine="0"/>
              <w:jc w:val="center"/>
              <w:rPr>
                <w:rFonts w:ascii="Arial" w:hAnsi="Arial" w:cs="Arial"/>
                <w:sz w:val="22"/>
                <w:szCs w:val="24"/>
                <w:lang/>
              </w:rPr>
            </w:pPr>
            <w:r>
              <w:rPr>
                <w:rFonts w:ascii="Arial" w:hAnsi="Arial" w:cs="Arial"/>
                <w:sz w:val="22"/>
                <w:szCs w:val="24"/>
                <w:lang/>
              </w:rPr>
              <w:t>0.42</w:t>
            </w:r>
          </w:p>
        </w:tc>
        <w:tc>
          <w:tcPr>
            <w:tcW w:w="1624" w:type="dxa"/>
          </w:tcPr>
          <w:p>
            <w:pPr>
              <w:ind w:firstLine="0"/>
              <w:jc w:val="center"/>
              <w:rPr>
                <w:rFonts w:ascii="Arial" w:hAnsi="Arial" w:cs="Arial"/>
                <w:sz w:val="22"/>
                <w:szCs w:val="24"/>
                <w:lang/>
              </w:rPr>
            </w:pPr>
            <w:r>
              <w:rPr>
                <w:rFonts w:ascii="Arial" w:hAnsi="Arial" w:cs="Arial"/>
                <w:sz w:val="22"/>
                <w:szCs w:val="24"/>
                <w:lang/>
              </w:rPr>
              <w:t>0.05</w:t>
            </w:r>
          </w:p>
        </w:tc>
        <w:tc>
          <w:tcPr>
            <w:tcW w:w="1697" w:type="dxa"/>
          </w:tcPr>
          <w:p>
            <w:pPr>
              <w:ind w:firstLine="0"/>
              <w:jc w:val="center"/>
              <w:rPr>
                <w:rFonts w:ascii="Arial" w:hAnsi="Arial" w:cs="Arial"/>
                <w:sz w:val="22"/>
                <w:szCs w:val="24"/>
                <w:lang/>
              </w:rPr>
            </w:pPr>
            <w:r>
              <w:rPr>
                <w:rFonts w:ascii="Arial" w:hAnsi="Arial" w:cs="Arial"/>
                <w:sz w:val="22"/>
                <w:szCs w:val="24"/>
                <w:lang/>
              </w:rPr>
              <w:t>0.20</w:t>
            </w:r>
          </w:p>
        </w:tc>
        <w:tc>
          <w:tcPr>
            <w:tcW w:w="1724" w:type="dxa"/>
          </w:tcPr>
          <w:p>
            <w:pPr>
              <w:ind w:firstLine="0"/>
              <w:jc w:val="center"/>
              <w:rPr>
                <w:rFonts w:ascii="Arial" w:hAnsi="Arial" w:cs="Arial"/>
                <w:sz w:val="22"/>
                <w:szCs w:val="24"/>
                <w:lang/>
              </w:rPr>
            </w:pPr>
            <w:r>
              <w:rPr>
                <w:rFonts w:ascii="Arial" w:hAnsi="Arial" w:cs="Arial"/>
                <w:sz w:val="22"/>
                <w:szCs w:val="24"/>
                <w:lang/>
              </w:rPr>
              <w:t>0.06</w:t>
            </w:r>
          </w:p>
        </w:tc>
      </w:tr>
    </w:tbl>
    <w:p>
      <w:pPr>
        <w:ind w:firstLine="0"/>
        <w:rPr>
          <w:rFonts w:ascii="Arial" w:hAnsi="Arial" w:cs="Arial"/>
          <w:sz w:val="22"/>
          <w:szCs w:val="24"/>
        </w:rPr>
      </w:pPr>
    </w:p>
    <w:p>
      <w:pPr>
        <w:ind w:firstLine="0"/>
        <w:rPr>
          <w:rFonts w:ascii="Arial" w:hAnsi="Arial" w:cs="Arial"/>
          <w:sz w:val="22"/>
          <w:szCs w:val="24"/>
        </w:rPr>
      </w:pPr>
      <w:commentRangeStart w:id="58"/>
      <w:r>
        <w:rPr>
          <w:rFonts w:ascii="Arial" w:hAnsi="Arial" w:cs="Arial"/>
          <w:sz w:val="22"/>
          <w:szCs w:val="24"/>
          <w:lang w:val="id-ID"/>
        </w:rPr>
        <w:t xml:space="preserve">Tabel </w:t>
      </w:r>
      <w:commentRangeEnd w:id="58"/>
      <w:r>
        <w:rPr>
          <w:rStyle w:val="CommentReference"/>
        </w:rPr>
        <w:commentReference w:id="58"/>
      </w:r>
      <w:r>
        <w:rPr>
          <w:rFonts w:ascii="Arial" w:hAnsi="Arial" w:cs="Arial"/>
          <w:sz w:val="22"/>
          <w:szCs w:val="24"/>
        </w:rPr>
        <w:t>5</w:t>
      </w:r>
      <w:r>
        <w:rPr>
          <w:rFonts w:ascii="Arial" w:hAnsi="Arial" w:cs="Arial"/>
          <w:sz w:val="22"/>
          <w:szCs w:val="24"/>
          <w:lang w:val="id-ID"/>
        </w:rPr>
        <w:t xml:space="preserve"> Nilai ambang deteksi</w:t>
      </w:r>
      <w:r>
        <w:rPr>
          <w:rFonts w:ascii="Arial" w:hAnsi="Arial" w:cs="Arial"/>
          <w:sz w:val="22"/>
          <w:szCs w:val="24"/>
        </w:rPr>
        <w:t xml:space="preserve"> rasa umami dari MSG</w:t>
      </w:r>
      <w:r>
        <w:rPr>
          <w:rFonts w:ascii="Arial" w:hAnsi="Arial" w:cs="Arial"/>
          <w:sz w:val="22"/>
          <w:szCs w:val="24"/>
          <w:lang w:val="id-ID"/>
        </w:rPr>
        <w:t xml:space="preserve"> pada konsentrasi garam yang berbeda</w:t>
      </w:r>
    </w:p>
    <w:tbl>
      <w:tblPr>
        <w:tblW w:w="0" w:type="auto"/>
        <w:jc w:val="center"/>
        <w:tblBorders>
          <w:top w:val="single" w:sz="4" w:space="0" w:color="auto"/>
          <w:bottom w:val="single" w:sz="4" w:space="0" w:color="auto"/>
        </w:tblBorders>
        <w:tblLook w:val="04A0" w:firstRow="1" w:lastRow="0" w:firstColumn="1" w:lastColumn="0" w:noHBand="0" w:noVBand="1"/>
      </w:tblPr>
      <w:tblGrid>
        <w:gridCol w:w="3348"/>
        <w:gridCol w:w="4244"/>
      </w:tblGrid>
      <w:tr>
        <w:trPr>
          <w:jc w:val="center"/>
        </w:trPr>
        <w:tc>
          <w:tcPr>
            <w:tcW w:w="3348" w:type="dxa"/>
            <w:tcBorders>
              <w:top w:val="single" w:sz="4" w:space="0" w:color="auto"/>
              <w:bottom w:val="single" w:sz="4" w:space="0" w:color="auto"/>
            </w:tcBorders>
            <w:shd w:val="clear" w:color="auto" w:fill="auto"/>
          </w:tcPr>
          <w:p>
            <w:pPr>
              <w:ind w:firstLine="0"/>
              <w:jc w:val="center"/>
              <w:rPr>
                <w:rFonts w:ascii="Arial" w:hAnsi="Arial" w:cs="Arial"/>
                <w:sz w:val="22"/>
                <w:szCs w:val="24"/>
              </w:rPr>
            </w:pPr>
            <w:r>
              <w:rPr>
                <w:rFonts w:ascii="Arial" w:hAnsi="Arial" w:cs="Arial"/>
                <w:sz w:val="22"/>
                <w:szCs w:val="24"/>
              </w:rPr>
              <w:t>Konsentrasi Garam (g/100 mL)</w:t>
            </w:r>
          </w:p>
        </w:tc>
        <w:tc>
          <w:tcPr>
            <w:tcW w:w="4244" w:type="dxa"/>
            <w:tcBorders>
              <w:top w:val="single" w:sz="4" w:space="0" w:color="auto"/>
              <w:bottom w:val="single" w:sz="4" w:space="0" w:color="auto"/>
            </w:tcBorders>
            <w:shd w:val="clear" w:color="auto" w:fill="auto"/>
          </w:tcPr>
          <w:p>
            <w:pPr>
              <w:ind w:firstLine="0"/>
              <w:jc w:val="center"/>
              <w:rPr>
                <w:rFonts w:ascii="Arial" w:hAnsi="Arial" w:cs="Arial"/>
                <w:sz w:val="22"/>
                <w:szCs w:val="24"/>
              </w:rPr>
            </w:pPr>
            <w:r>
              <w:rPr>
                <w:rFonts w:ascii="Arial" w:hAnsi="Arial" w:cs="Arial"/>
                <w:sz w:val="22"/>
                <w:szCs w:val="24"/>
                <w:lang w:val="id-ID"/>
              </w:rPr>
              <w:t xml:space="preserve">Nilai Ambang </w:t>
            </w:r>
            <w:r>
              <w:rPr>
                <w:rFonts w:ascii="Arial" w:hAnsi="Arial" w:cs="Arial"/>
                <w:sz w:val="22"/>
                <w:szCs w:val="24"/>
              </w:rPr>
              <w:t>D</w:t>
            </w:r>
            <w:r>
              <w:rPr>
                <w:rFonts w:ascii="Arial" w:hAnsi="Arial" w:cs="Arial"/>
                <w:sz w:val="22"/>
                <w:szCs w:val="24"/>
                <w:lang w:val="id-ID"/>
              </w:rPr>
              <w:t xml:space="preserve">eteksi </w:t>
            </w:r>
            <w:r>
              <w:rPr>
                <w:rFonts w:ascii="Arial" w:hAnsi="Arial" w:cs="Arial"/>
                <w:sz w:val="22"/>
                <w:szCs w:val="24"/>
              </w:rPr>
              <w:t>(g MSG/100 mL)</w:t>
            </w:r>
          </w:p>
        </w:tc>
      </w:tr>
      <w:tr>
        <w:trPr>
          <w:jc w:val="center"/>
        </w:trPr>
        <w:tc>
          <w:tcPr>
            <w:tcW w:w="3348" w:type="dxa"/>
            <w:tcBorders>
              <w:top w:val="single" w:sz="4" w:space="0" w:color="auto"/>
            </w:tcBorders>
            <w:shd w:val="clear" w:color="auto" w:fill="auto"/>
          </w:tcPr>
          <w:p>
            <w:pPr>
              <w:ind w:firstLine="0"/>
              <w:jc w:val="center"/>
              <w:rPr>
                <w:rFonts w:ascii="Arial" w:hAnsi="Arial" w:cs="Arial"/>
                <w:sz w:val="22"/>
                <w:szCs w:val="24"/>
              </w:rPr>
            </w:pPr>
            <w:r>
              <w:rPr>
                <w:rFonts w:ascii="Arial" w:hAnsi="Arial" w:cs="Arial"/>
                <w:sz w:val="22"/>
                <w:szCs w:val="24"/>
              </w:rPr>
              <w:t>0.30</w:t>
            </w:r>
          </w:p>
        </w:tc>
        <w:tc>
          <w:tcPr>
            <w:tcW w:w="4244" w:type="dxa"/>
            <w:tcBorders>
              <w:top w:val="single" w:sz="4" w:space="0" w:color="auto"/>
            </w:tcBorders>
            <w:shd w:val="clear" w:color="auto" w:fill="auto"/>
            <w:vAlign w:val="bottom"/>
          </w:tcPr>
          <w:p>
            <w:pPr>
              <w:ind w:firstLine="0"/>
              <w:jc w:val="center"/>
              <w:rPr>
                <w:rFonts w:ascii="Arial" w:hAnsi="Arial" w:cs="Arial"/>
                <w:sz w:val="22"/>
                <w:szCs w:val="24"/>
                <w:lang w:val="en-GB"/>
              </w:rPr>
            </w:pPr>
            <w:r>
              <w:rPr>
                <w:rFonts w:ascii="Arial" w:hAnsi="Arial" w:cs="Arial"/>
                <w:sz w:val="22"/>
                <w:szCs w:val="24"/>
                <w:lang w:val="en-GB"/>
              </w:rPr>
              <w:t>0.05</w:t>
            </w:r>
          </w:p>
        </w:tc>
      </w:tr>
      <w:tr>
        <w:trPr>
          <w:jc w:val="center"/>
        </w:trPr>
        <w:tc>
          <w:tcPr>
            <w:tcW w:w="3348" w:type="dxa"/>
            <w:shd w:val="clear" w:color="auto" w:fill="auto"/>
          </w:tcPr>
          <w:p>
            <w:pPr>
              <w:ind w:firstLine="0"/>
              <w:jc w:val="center"/>
              <w:rPr>
                <w:rFonts w:ascii="Arial" w:hAnsi="Arial" w:cs="Arial"/>
                <w:sz w:val="22"/>
                <w:szCs w:val="24"/>
              </w:rPr>
            </w:pPr>
            <w:r>
              <w:rPr>
                <w:rFonts w:ascii="Arial" w:hAnsi="Arial" w:cs="Arial"/>
                <w:sz w:val="22"/>
                <w:szCs w:val="24"/>
              </w:rPr>
              <w:t>0.42</w:t>
            </w:r>
          </w:p>
        </w:tc>
        <w:tc>
          <w:tcPr>
            <w:tcW w:w="4244" w:type="dxa"/>
            <w:shd w:val="clear" w:color="auto" w:fill="auto"/>
          </w:tcPr>
          <w:p>
            <w:pPr>
              <w:ind w:firstLine="0"/>
              <w:jc w:val="center"/>
              <w:rPr>
                <w:rFonts w:ascii="Arial" w:hAnsi="Arial" w:cs="Arial"/>
                <w:sz w:val="22"/>
                <w:szCs w:val="24"/>
              </w:rPr>
            </w:pPr>
            <w:r>
              <w:rPr>
                <w:rFonts w:ascii="Arial" w:hAnsi="Arial" w:cs="Arial"/>
                <w:sz w:val="22"/>
                <w:szCs w:val="24"/>
              </w:rPr>
              <w:t>0.01</w:t>
            </w:r>
          </w:p>
        </w:tc>
      </w:tr>
    </w:tbl>
    <w:p>
      <w:pPr>
        <w:ind w:firstLine="0"/>
        <w:rPr>
          <w:rFonts w:ascii="Arial" w:hAnsi="Arial" w:cs="Arial"/>
          <w:sz w:val="22"/>
          <w:szCs w:val="24"/>
        </w:rPr>
      </w:pPr>
    </w:p>
    <w:p>
      <w:pPr>
        <w:ind w:firstLine="0"/>
        <w:jc w:val="center"/>
        <w:rPr>
          <w:rFonts w:ascii="Arial" w:hAnsi="Arial" w:cs="Arial"/>
          <w:sz w:val="22"/>
          <w:lang/>
        </w:rPr>
      </w:pPr>
      <w:r>
        <w:rPr>
          <w:rFonts w:ascii="Arial" w:hAnsi="Arial" w:cs="Arial"/>
          <w:noProof/>
          <w:sz w:val="22"/>
          <w:lang w:eastAsia="en-US"/>
        </w:rPr>
        <w:lastRenderedPageBreak/>
        <w:drawing>
          <wp:inline distT="0" distB="0" distL="0" distR="0">
            <wp:extent cx="4657344"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left="1170" w:hanging="1170"/>
        <w:rPr>
          <w:rFonts w:ascii="Arial" w:hAnsi="Arial" w:cs="Arial"/>
          <w:b/>
          <w:sz w:val="22"/>
          <w:szCs w:val="24"/>
        </w:rPr>
      </w:pPr>
      <w:r>
        <w:rPr>
          <w:rFonts w:ascii="Arial" w:hAnsi="Arial" w:cs="Arial"/>
          <w:sz w:val="22"/>
          <w:szCs w:val="24"/>
        </w:rPr>
        <w:t>Gambar 1  Kurva ambang preferensi rasa umami pada konsentrasi garam 0.30 g/100 mL dan 0.42 g/100 mL.</w:t>
      </w:r>
    </w:p>
    <w:p>
      <w:pPr>
        <w:ind w:firstLine="0"/>
        <w:rPr>
          <w:rFonts w:ascii="Arial" w:hAnsi="Arial" w:cs="Arial"/>
          <w:sz w:val="22"/>
          <w:szCs w:val="24"/>
          <w:lang/>
        </w:rPr>
      </w:pPr>
    </w:p>
    <w:p>
      <w:pPr>
        <w:ind w:firstLine="0"/>
        <w:rPr>
          <w:rFonts w:ascii="Arial" w:hAnsi="Arial" w:cs="Arial"/>
          <w:sz w:val="22"/>
          <w:szCs w:val="24"/>
          <w:lang/>
        </w:rPr>
      </w:pPr>
    </w:p>
    <w:p>
      <w:pPr>
        <w:ind w:firstLine="0"/>
        <w:jc w:val="center"/>
        <w:rPr>
          <w:rFonts w:ascii="Arial" w:hAnsi="Arial" w:cs="Arial"/>
          <w:sz w:val="22"/>
          <w:szCs w:val="24"/>
          <w:lang/>
        </w:rPr>
      </w:pPr>
      <w:r>
        <w:rPr>
          <w:rFonts w:ascii="Arial" w:hAnsi="Arial" w:cs="Arial"/>
          <w:noProof/>
          <w:sz w:val="22"/>
          <w:lang w:eastAsia="en-US"/>
        </w:rPr>
        <w:drawing>
          <wp:inline distT="0" distB="0" distL="0" distR="0">
            <wp:extent cx="4572000" cy="27432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left="1080" w:hanging="1080"/>
        <w:rPr>
          <w:rFonts w:ascii="Arial" w:hAnsi="Arial" w:cs="Arial"/>
          <w:sz w:val="22"/>
          <w:szCs w:val="24"/>
        </w:rPr>
      </w:pPr>
      <w:r>
        <w:rPr>
          <w:rFonts w:ascii="Arial" w:hAnsi="Arial" w:cs="Arial"/>
          <w:sz w:val="22"/>
          <w:szCs w:val="24"/>
          <w:lang/>
        </w:rPr>
        <w:t xml:space="preserve">Gambar 2 Persamaan Steven pada konsentrasi garam 0.30 </w:t>
      </w:r>
      <w:r>
        <w:rPr>
          <w:rFonts w:ascii="Arial" w:hAnsi="Arial" w:cs="Arial"/>
          <w:sz w:val="22"/>
          <w:szCs w:val="24"/>
        </w:rPr>
        <w:t>g/100 mL</w:t>
      </w:r>
      <w:r>
        <w:rPr>
          <w:rFonts w:ascii="Arial" w:hAnsi="Arial" w:cs="Arial"/>
          <w:sz w:val="22"/>
          <w:szCs w:val="24"/>
          <w:lang/>
        </w:rPr>
        <w:t xml:space="preserve"> dan 0.42 </w:t>
      </w:r>
      <w:r>
        <w:rPr>
          <w:rFonts w:ascii="Arial" w:hAnsi="Arial" w:cs="Arial"/>
          <w:sz w:val="22"/>
          <w:szCs w:val="24"/>
        </w:rPr>
        <w:t>g/100 mL</w:t>
      </w:r>
    </w:p>
    <w:p>
      <w:pPr>
        <w:ind w:left="1080" w:hanging="1080"/>
        <w:rPr>
          <w:rFonts w:ascii="Arial" w:hAnsi="Arial" w:cs="Arial"/>
          <w:sz w:val="22"/>
          <w:szCs w:val="24"/>
        </w:rPr>
      </w:pPr>
    </w:p>
    <w:p>
      <w:pPr>
        <w:ind w:firstLine="0"/>
        <w:rPr>
          <w:rFonts w:ascii="Arial" w:hAnsi="Arial" w:cs="Arial"/>
          <w:sz w:val="22"/>
          <w:szCs w:val="24"/>
          <w:lang/>
        </w:rPr>
      </w:pPr>
    </w:p>
    <w:p>
      <w:pPr>
        <w:ind w:firstLine="0"/>
        <w:jc w:val="center"/>
        <w:rPr>
          <w:rFonts w:ascii="Arial" w:hAnsi="Arial" w:cs="Arial"/>
          <w:sz w:val="22"/>
          <w:szCs w:val="24"/>
          <w:lang/>
        </w:rPr>
      </w:pPr>
      <w:r>
        <w:rPr>
          <w:rFonts w:ascii="Arial" w:hAnsi="Arial" w:cs="Arial"/>
          <w:noProof/>
          <w:sz w:val="22"/>
          <w:lang w:eastAsia="en-US"/>
        </w:rPr>
        <w:lastRenderedPageBreak/>
        <w:drawing>
          <wp:inline distT="0" distB="0" distL="0" distR="0">
            <wp:extent cx="4891490" cy="2280492"/>
            <wp:effectExtent l="0" t="0" r="4445"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tabs>
          <w:tab w:val="left" w:pos="90"/>
        </w:tabs>
        <w:ind w:left="1080" w:hanging="1080"/>
        <w:rPr>
          <w:rFonts w:ascii="Arial" w:hAnsi="Arial" w:cs="Arial"/>
          <w:sz w:val="22"/>
          <w:szCs w:val="24"/>
          <w:lang/>
        </w:rPr>
      </w:pPr>
      <w:r>
        <w:rPr>
          <w:rFonts w:ascii="Arial" w:hAnsi="Arial" w:cs="Arial"/>
          <w:sz w:val="22"/>
          <w:szCs w:val="24"/>
          <w:lang/>
        </w:rPr>
        <w:t xml:space="preserve">Gambar 3 Persamaan Fechner pada konsentrasi garam 0.30 </w:t>
      </w:r>
      <w:r>
        <w:rPr>
          <w:rFonts w:ascii="Arial" w:hAnsi="Arial" w:cs="Arial"/>
          <w:sz w:val="22"/>
          <w:szCs w:val="24"/>
        </w:rPr>
        <w:t>g/100 mL</w:t>
      </w:r>
      <w:r>
        <w:rPr>
          <w:rFonts w:ascii="Arial" w:hAnsi="Arial" w:cs="Arial"/>
          <w:sz w:val="22"/>
          <w:szCs w:val="24"/>
          <w:lang/>
        </w:rPr>
        <w:t xml:space="preserve"> dan 0.42 </w:t>
      </w:r>
      <w:r>
        <w:rPr>
          <w:rFonts w:ascii="Arial" w:hAnsi="Arial" w:cs="Arial"/>
          <w:sz w:val="22"/>
          <w:szCs w:val="24"/>
        </w:rPr>
        <w:t>g/100 mL</w:t>
      </w:r>
    </w:p>
    <w:p>
      <w:pPr>
        <w:rPr>
          <w:rFonts w:ascii="Arial" w:hAnsi="Arial" w:cs="Arial"/>
          <w:sz w:val="22"/>
          <w:szCs w:val="24"/>
          <w:lang/>
        </w:rPr>
      </w:pPr>
    </w:p>
    <w:p>
      <w:pPr>
        <w:ind w:firstLine="0"/>
        <w:rPr>
          <w:rFonts w:ascii="Arial" w:hAnsi="Arial" w:cs="Arial"/>
          <w:sz w:val="22"/>
          <w:szCs w:val="24"/>
          <w:lang/>
        </w:rPr>
      </w:pPr>
    </w:p>
    <w:p>
      <w:pPr>
        <w:ind w:firstLine="0"/>
        <w:rPr>
          <w:rFonts w:ascii="Arial" w:hAnsi="Arial" w:cs="Arial"/>
          <w:b/>
          <w:sz w:val="22"/>
        </w:rPr>
      </w:pPr>
    </w:p>
    <w:p>
      <w:pPr>
        <w:jc w:val="center"/>
        <w:rPr>
          <w:rFonts w:ascii="Arial" w:hAnsi="Arial" w:cs="Arial"/>
          <w:b/>
          <w:sz w:val="22"/>
        </w:rPr>
      </w:pPr>
    </w:p>
    <w:p>
      <w:pPr>
        <w:ind w:firstLine="0"/>
        <w:rPr>
          <w:rFonts w:ascii="Arial" w:hAnsi="Arial" w:cs="Arial"/>
          <w:sz w:val="22"/>
          <w:szCs w:val="24"/>
        </w:rPr>
      </w:pPr>
      <w:r>
        <w:rPr>
          <w:rFonts w:ascii="Arial" w:hAnsi="Arial" w:cs="Arial"/>
          <w:noProof/>
          <w:sz w:val="22"/>
          <w:lang w:eastAsia="en-US"/>
        </w:rPr>
        <w:drawing>
          <wp:inline distT="0" distB="0" distL="0" distR="0">
            <wp:extent cx="4718304" cy="2743200"/>
            <wp:effectExtent l="0" t="0" r="63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ind w:firstLine="0"/>
        <w:rPr>
          <w:rFonts w:ascii="Arial" w:hAnsi="Arial" w:cs="Arial"/>
          <w:sz w:val="22"/>
          <w:szCs w:val="24"/>
        </w:rPr>
      </w:pPr>
    </w:p>
    <w:p>
      <w:pPr>
        <w:tabs>
          <w:tab w:val="left" w:pos="90"/>
          <w:tab w:val="left" w:pos="1800"/>
        </w:tabs>
        <w:ind w:left="1080" w:hanging="1080"/>
        <w:jc w:val="center"/>
        <w:rPr>
          <w:rFonts w:ascii="Arial" w:hAnsi="Arial" w:cs="Arial"/>
          <w:sz w:val="22"/>
          <w:szCs w:val="24"/>
        </w:rPr>
      </w:pPr>
      <w:commentRangeStart w:id="59"/>
      <w:r>
        <w:rPr>
          <w:rFonts w:ascii="Arial" w:hAnsi="Arial" w:cs="Arial"/>
          <w:sz w:val="22"/>
          <w:szCs w:val="24"/>
        </w:rPr>
        <w:t xml:space="preserve">Gambar </w:t>
      </w:r>
      <w:commentRangeEnd w:id="59"/>
      <w:r>
        <w:rPr>
          <w:rStyle w:val="CommentReference"/>
        </w:rPr>
        <w:commentReference w:id="59"/>
      </w:r>
      <w:r>
        <w:rPr>
          <w:rFonts w:ascii="Arial" w:hAnsi="Arial" w:cs="Arial"/>
          <w:sz w:val="22"/>
          <w:szCs w:val="24"/>
        </w:rPr>
        <w:t>4  Grafik nilai R-index ambang deteksi rasa umami pada konsentrasi garam 0.30 g/100 mL dan 0.42 g/100 mL</w:t>
      </w:r>
    </w:p>
    <w:p>
      <w:pPr>
        <w:ind w:firstLine="0"/>
        <w:rPr>
          <w:rFonts w:ascii="Arial" w:hAnsi="Arial" w:cs="Arial"/>
          <w:sz w:val="22"/>
          <w:szCs w:val="24"/>
        </w:rPr>
      </w:pPr>
    </w:p>
    <w:p>
      <w:pPr>
        <w:rPr>
          <w:rFonts w:ascii="Arial" w:hAnsi="Arial" w:cs="Arial"/>
          <w:sz w:val="22"/>
          <w:szCs w:val="24"/>
        </w:rPr>
      </w:pPr>
    </w:p>
    <w:p>
      <w:pPr>
        <w:pStyle w:val="ListParagraph"/>
        <w:spacing w:line="360" w:lineRule="auto"/>
        <w:ind w:hanging="720"/>
        <w:rPr>
          <w:rFonts w:ascii="Arial" w:hAnsi="Arial" w:cs="Arial"/>
          <w:color w:val="000000" w:themeColor="text1"/>
          <w:sz w:val="22"/>
          <w:szCs w:val="24"/>
        </w:rPr>
      </w:pPr>
      <w:r>
        <w:rPr>
          <w:rFonts w:ascii="Arial" w:hAnsi="Arial" w:cs="Arial"/>
          <w:sz w:val="22"/>
        </w:rPr>
        <w:br w:type="page"/>
      </w:r>
    </w:p>
    <w:p>
      <w:pPr>
        <w:spacing w:line="360" w:lineRule="auto"/>
        <w:ind w:firstLine="0"/>
        <w:rPr>
          <w:rFonts w:ascii="Arial" w:hAnsi="Arial" w:cs="Arial"/>
          <w:sz w:val="22"/>
          <w:szCs w:val="24"/>
        </w:rPr>
      </w:pPr>
    </w:p>
    <w:p>
      <w:pPr>
        <w:pStyle w:val="Heading1"/>
        <w:spacing w:after="240" w:line="360" w:lineRule="auto"/>
        <w:rPr>
          <w:rFonts w:ascii="Arial" w:hAnsi="Arial" w:cs="Arial"/>
          <w:sz w:val="22"/>
          <w:szCs w:val="24"/>
        </w:rPr>
      </w:pPr>
      <w:bookmarkStart w:id="61" w:name="_Toc468430123"/>
      <w:r>
        <w:rPr>
          <w:rFonts w:ascii="Arial" w:hAnsi="Arial" w:cs="Arial"/>
          <w:sz w:val="22"/>
          <w:szCs w:val="24"/>
        </w:rPr>
        <w:br w:type="page"/>
      </w:r>
      <w:bookmarkEnd w:id="61"/>
    </w:p>
    <w:sectPr>
      <w:headerReference w:type="even" r:id="rId14"/>
      <w:headerReference w:type="default" r:id="rId15"/>
      <w:headerReference w:type="first" r:id="rId16"/>
      <w:pgSz w:w="11907" w:h="16839" w:code="9"/>
      <w:pgMar w:top="1440" w:right="1440" w:bottom="1440" w:left="1440" w:header="720" w:footer="720" w:gutter="562"/>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jurnal" w:date="2017-04-12T10:46:00Z" w:initials="j">
    <w:p>
      <w:pPr>
        <w:pStyle w:val="CommentText"/>
      </w:pPr>
      <w:r>
        <w:rPr>
          <w:rStyle w:val="CommentReference"/>
        </w:rPr>
        <w:annotationRef/>
      </w:r>
      <w:r>
        <w:t>Mohon melihat file contoh</w:t>
      </w:r>
    </w:p>
  </w:comment>
  <w:comment w:id="28" w:author="jurnal" w:date="2017-04-12T10:46:00Z" w:initials="j">
    <w:p>
      <w:pPr>
        <w:pStyle w:val="CommentText"/>
      </w:pPr>
      <w:r>
        <w:rPr>
          <w:rStyle w:val="CommentReference"/>
        </w:rPr>
        <w:annotationRef/>
      </w:r>
      <w:r>
        <w:t>Hanya Bahan utama yang digunakan lengkap dengan sumbernya</w:t>
      </w:r>
    </w:p>
    <w:p>
      <w:pPr>
        <w:pStyle w:val="CommentText"/>
      </w:pPr>
    </w:p>
    <w:p>
      <w:pPr>
        <w:pStyle w:val="CommentText"/>
      </w:pPr>
      <w:r>
        <w:t>Sedangkan bahan kimia langsung di metode lengkap dengan sumbernya</w:t>
      </w:r>
    </w:p>
  </w:comment>
  <w:comment w:id="29" w:author="jurnal" w:date="2017-04-12T10:47:00Z" w:initials="j">
    <w:p>
      <w:pPr>
        <w:pStyle w:val="CommentText"/>
      </w:pPr>
      <w:r>
        <w:rPr>
          <w:rStyle w:val="CommentReference"/>
        </w:rPr>
        <w:annotationRef/>
      </w:r>
      <w:r>
        <w:t>Langsung dicantumkan di metode lengkap dengan spesifikasi dan sumbernya, setelah itu dihapus</w:t>
      </w:r>
    </w:p>
  </w:comment>
  <w:comment w:id="30" w:author="jurnal" w:date="2017-04-12T10:45:00Z" w:initials="j">
    <w:p>
      <w:pPr>
        <w:pStyle w:val="CommentText"/>
      </w:pPr>
      <w:r>
        <w:rPr>
          <w:rStyle w:val="CommentReference"/>
        </w:rPr>
        <w:annotationRef/>
      </w:r>
      <w:r>
        <w:t>hapus</w:t>
      </w:r>
    </w:p>
  </w:comment>
  <w:comment w:id="31" w:author="jurnal" w:date="2017-04-12T10:47:00Z" w:initials="j">
    <w:p>
      <w:pPr>
        <w:pStyle w:val="CommentText"/>
      </w:pPr>
      <w:r>
        <w:rPr>
          <w:rStyle w:val="CommentReference"/>
        </w:rPr>
        <w:annotationRef/>
      </w:r>
      <w:r>
        <w:t>mL</w:t>
      </w:r>
    </w:p>
  </w:comment>
  <w:comment w:id="32" w:author="jurnal" w:date="2017-04-12T10:47:00Z" w:initials="j">
    <w:p>
      <w:pPr>
        <w:pStyle w:val="CommentText"/>
      </w:pPr>
      <w:r>
        <w:rPr>
          <w:rStyle w:val="CommentReference"/>
        </w:rPr>
        <w:annotationRef/>
      </w:r>
      <w:r>
        <w:t>mL</w:t>
      </w:r>
    </w:p>
    <w:p>
      <w:pPr>
        <w:pStyle w:val="CommentText"/>
      </w:pPr>
      <w:r>
        <w:t>mohon dei cek yg lainnya</w:t>
      </w:r>
    </w:p>
  </w:comment>
  <w:comment w:id="33" w:author="jurnal" w:date="2017-04-12T10:48:00Z" w:initials="j">
    <w:p>
      <w:pPr>
        <w:pStyle w:val="CommentText"/>
      </w:pPr>
      <w:r>
        <w:rPr>
          <w:rStyle w:val="CommentReference"/>
        </w:rPr>
        <w:annotationRef/>
      </w:r>
      <w:r>
        <w:t>hapus</w:t>
      </w:r>
    </w:p>
  </w:comment>
  <w:comment w:id="34" w:author="jurnal" w:date="2017-04-12T10:49:00Z" w:initials="j">
    <w:p>
      <w:pPr>
        <w:pStyle w:val="CommentText"/>
      </w:pPr>
      <w:r>
        <w:rPr>
          <w:rStyle w:val="CommentReference"/>
        </w:rPr>
        <w:annotationRef/>
      </w:r>
      <w:r>
        <w:t>hapus</w:t>
      </w:r>
    </w:p>
  </w:comment>
  <w:comment w:id="35" w:author="jurnal" w:date="2017-04-12T10:49:00Z" w:initials="j">
    <w:p>
      <w:pPr>
        <w:pStyle w:val="CommentText"/>
      </w:pPr>
      <w:r>
        <w:rPr>
          <w:rStyle w:val="CommentReference"/>
        </w:rPr>
        <w:annotationRef/>
      </w:r>
      <w:r>
        <w:t>hapus</w:t>
      </w:r>
    </w:p>
  </w:comment>
  <w:comment w:id="36" w:author="jurnal" w:date="2017-04-12T10:49:00Z" w:initials="j">
    <w:p>
      <w:pPr>
        <w:pStyle w:val="CommentText"/>
      </w:pPr>
      <w:r>
        <w:rPr>
          <w:rStyle w:val="CommentReference"/>
        </w:rPr>
        <w:annotationRef/>
      </w:r>
      <w:r>
        <w:t>hapus</w:t>
      </w:r>
    </w:p>
  </w:comment>
  <w:comment w:id="37" w:author="jurnal" w:date="2017-04-12T10:49:00Z" w:initials="j">
    <w:p>
      <w:pPr>
        <w:pStyle w:val="CommentText"/>
      </w:pPr>
      <w:r>
        <w:rPr>
          <w:rStyle w:val="CommentReference"/>
        </w:rPr>
        <w:annotationRef/>
      </w:r>
      <w:r>
        <w:t>hapus</w:t>
      </w:r>
    </w:p>
    <w:p>
      <w:pPr>
        <w:pStyle w:val="CommentText"/>
      </w:pPr>
      <w:r>
        <w:t>mohon cek yg lainnya</w:t>
      </w:r>
    </w:p>
  </w:comment>
  <w:comment w:id="48" w:author="jurnal" w:date="2017-04-12T10:50:00Z" w:initials="j">
    <w:p>
      <w:pPr>
        <w:pStyle w:val="CommentText"/>
      </w:pPr>
      <w:r>
        <w:rPr>
          <w:rStyle w:val="CommentReference"/>
        </w:rPr>
        <w:annotationRef/>
      </w:r>
      <w:r>
        <w:t>KE</w:t>
      </w:r>
    </w:p>
  </w:comment>
  <w:comment w:id="49" w:author="jurnal" w:date="2017-04-12T10:50:00Z" w:initials="j">
    <w:p>
      <w:pPr>
        <w:pStyle w:val="CommentText"/>
      </w:pPr>
      <w:r>
        <w:rPr>
          <w:rStyle w:val="CommentReference"/>
        </w:rPr>
        <w:annotationRef/>
      </w:r>
      <w:r>
        <w:t>hapus</w:t>
      </w:r>
    </w:p>
  </w:comment>
  <w:comment w:id="53" w:author="jurnal" w:date="2017-04-12T10:52:00Z" w:initials="j">
    <w:p>
      <w:pPr>
        <w:pStyle w:val="CommentText"/>
      </w:pPr>
      <w:r>
        <w:rPr>
          <w:rStyle w:val="CommentReference"/>
        </w:rPr>
        <w:annotationRef/>
      </w:r>
      <w:r>
        <w:t>mohon dapat memenuhi</w:t>
      </w:r>
    </w:p>
    <w:p>
      <w:pPr>
        <w:pStyle w:val="BodyTextIndent3"/>
        <w:numPr>
          <w:ilvl w:val="0"/>
          <w:numId w:val="46"/>
        </w:numPr>
        <w:spacing w:after="0"/>
        <w:ind w:left="284" w:hanging="65"/>
        <w:jc w:val="both"/>
        <w:rPr>
          <w:rFonts w:ascii="Arial Narrow" w:hAnsi="Arial Narrow"/>
          <w:lang w:val="id-ID"/>
        </w:rPr>
      </w:pPr>
      <w:r>
        <w:rPr>
          <w:rFonts w:ascii="Arial Narrow" w:hAnsi="Arial Narrow"/>
          <w:lang w:val="en-US"/>
        </w:rPr>
        <w:t xml:space="preserve">Pustaka yang digunakan minimum </w:t>
      </w:r>
      <w:r>
        <w:rPr>
          <w:rFonts w:ascii="Arial Narrow" w:hAnsi="Arial Narrow"/>
          <w:highlight w:val="yellow"/>
          <w:lang w:val="en-US"/>
        </w:rPr>
        <w:t>80% berasal dari jurnal 10 tahun terbitan terbaru.</w:t>
      </w:r>
    </w:p>
    <w:p>
      <w:pPr>
        <w:pStyle w:val="BodyTextIndent3"/>
        <w:numPr>
          <w:ilvl w:val="0"/>
          <w:numId w:val="46"/>
        </w:numPr>
        <w:spacing w:after="0"/>
        <w:ind w:left="284" w:hanging="65"/>
        <w:jc w:val="both"/>
        <w:rPr>
          <w:rFonts w:ascii="Arial Narrow" w:hAnsi="Arial Narrow"/>
          <w:lang w:val="id-ID"/>
        </w:rPr>
      </w:pPr>
      <w:r>
        <w:rPr>
          <w:rFonts w:ascii="Arial Narrow" w:hAnsi="Arial Narrow"/>
          <w:lang w:val="en-US"/>
        </w:rPr>
        <w:t>Jika ada Nomor DOI (</w:t>
      </w:r>
      <w:r>
        <w:rPr>
          <w:rFonts w:ascii="Arial Narrow" w:hAnsi="Arial Narrow"/>
          <w:i/>
          <w:lang w:val="en-US"/>
        </w:rPr>
        <w:t>Digital Object Identifier</w:t>
      </w:r>
      <w:r>
        <w:rPr>
          <w:rFonts w:ascii="Arial Narrow" w:hAnsi="Arial Narrow"/>
          <w:lang w:val="en-US"/>
        </w:rPr>
        <w:t xml:space="preserve">) harus dicantumkan, </w:t>
      </w:r>
    </w:p>
    <w:p>
      <w:pPr>
        <w:pStyle w:val="CommentText"/>
      </w:pPr>
    </w:p>
    <w:p>
      <w:pPr>
        <w:pStyle w:val="CommentText"/>
      </w:pPr>
    </w:p>
    <w:p>
      <w:pPr>
        <w:pStyle w:val="CommentText"/>
      </w:pPr>
      <w:r>
        <w:t xml:space="preserve">Dan </w:t>
      </w:r>
    </w:p>
    <w:p>
      <w:pPr>
        <w:pStyle w:val="CommentText"/>
      </w:pPr>
      <w:r>
        <w:t>Cara penulisan referensi diseuaikan kembali</w:t>
      </w:r>
    </w:p>
  </w:comment>
  <w:comment w:id="54" w:author="jurnal" w:date="2017-04-12T10:51:00Z" w:initials="j">
    <w:p>
      <w:pPr>
        <w:pStyle w:val="CommentText"/>
        <w:ind w:firstLine="0"/>
      </w:pPr>
      <w:r>
        <w:rPr>
          <w:rStyle w:val="CommentReference"/>
        </w:rPr>
        <w:annotationRef/>
      </w:r>
      <w:r>
        <w:t>buku ?</w:t>
      </w:r>
    </w:p>
    <w:p>
      <w:pPr>
        <w:pStyle w:val="CommentText"/>
        <w:ind w:firstLine="0"/>
      </w:pPr>
      <w:r>
        <w:t>lengkpi halaman</w:t>
      </w:r>
    </w:p>
    <w:p>
      <w:pPr>
        <w:pStyle w:val="CommentText"/>
        <w:ind w:firstLine="0"/>
      </w:pPr>
      <w:r>
        <w:t>mohon dicek yg lainnya</w:t>
      </w:r>
    </w:p>
  </w:comment>
  <w:comment w:id="55" w:author="jurnal" w:date="2017-04-12T10:51:00Z" w:initials="j">
    <w:p>
      <w:pPr>
        <w:pStyle w:val="CommentText"/>
      </w:pPr>
      <w:r>
        <w:rPr>
          <w:rStyle w:val="CommentReference"/>
        </w:rPr>
        <w:annotationRef/>
      </w:r>
      <w:r>
        <w:t>tulis semua</w:t>
      </w:r>
    </w:p>
    <w:p>
      <w:pPr>
        <w:pStyle w:val="CommentText"/>
      </w:pPr>
      <w:r>
        <w:t>mohon cek yg lainnya</w:t>
      </w:r>
    </w:p>
  </w:comment>
  <w:comment w:id="56" w:author="jurnal" w:date="2017-04-12T10:52:00Z" w:initials="j">
    <w:p>
      <w:pPr>
        <w:pStyle w:val="BodyTextIndent3"/>
        <w:numPr>
          <w:ilvl w:val="0"/>
          <w:numId w:val="47"/>
        </w:numPr>
        <w:spacing w:after="0"/>
        <w:ind w:left="284" w:hanging="65"/>
        <w:jc w:val="both"/>
        <w:rPr>
          <w:rFonts w:ascii="Arial Narrow" w:hAnsi="Arial Narrow"/>
          <w:lang w:val="id-ID"/>
        </w:rPr>
      </w:pPr>
      <w:r>
        <w:rPr>
          <w:rStyle w:val="CommentReference"/>
        </w:rPr>
        <w:annotationRef/>
      </w:r>
      <w:r>
        <w:rPr>
          <w:rFonts w:ascii="Arial Narrow" w:hAnsi="Arial Narrow"/>
        </w:rPr>
        <w:t xml:space="preserve">Data yang disajikan dalam bentuk rata-rata dilengkapi dengan </w:t>
      </w:r>
      <w:r>
        <w:rPr>
          <w:rFonts w:ascii="Arial Narrow" w:hAnsi="Arial Narrow"/>
          <w:i/>
        </w:rPr>
        <w:t xml:space="preserve">Standard Deviasi </w:t>
      </w:r>
      <w:r>
        <w:rPr>
          <w:rFonts w:ascii="Arial Narrow" w:hAnsi="Arial Narrow"/>
        </w:rPr>
        <w:t xml:space="preserve">(SD) atau </w:t>
      </w:r>
      <w:r>
        <w:rPr>
          <w:rFonts w:ascii="Arial Narrow" w:hAnsi="Arial Narrow"/>
          <w:i/>
        </w:rPr>
        <w:t xml:space="preserve">Standard Error of Mean </w:t>
      </w:r>
      <w:r>
        <w:rPr>
          <w:rFonts w:ascii="Arial Narrow" w:hAnsi="Arial Narrow"/>
        </w:rPr>
        <w:t>(SEM) dalam tabel atau gambar</w:t>
      </w:r>
      <w:r>
        <w:rPr>
          <w:rFonts w:ascii="Arial Narrow" w:hAnsi="Arial Narrow"/>
          <w:lang w:val="en-US"/>
        </w:rPr>
        <w:t xml:space="preserve">. </w:t>
      </w:r>
    </w:p>
    <w:p>
      <w:pPr>
        <w:pStyle w:val="BodyTextIndent3"/>
        <w:numPr>
          <w:ilvl w:val="0"/>
          <w:numId w:val="47"/>
        </w:numPr>
        <w:spacing w:after="0"/>
        <w:ind w:left="284" w:hanging="65"/>
        <w:jc w:val="both"/>
        <w:rPr>
          <w:rFonts w:ascii="Arial Narrow" w:hAnsi="Arial Narrow"/>
          <w:lang w:val="id-ID"/>
        </w:rPr>
      </w:pPr>
      <w:r>
        <w:rPr>
          <w:rFonts w:ascii="Arial Narrow" w:hAnsi="Arial Narrow"/>
          <w:lang w:val="en-US"/>
        </w:rPr>
        <w:t>D</w:t>
      </w:r>
      <w:r>
        <w:rPr>
          <w:rFonts w:ascii="Arial Narrow" w:hAnsi="Arial Narrow"/>
        </w:rPr>
        <w:t>ata yang disertai dengan analisis statistik yang sesuai, harus dilengkapi dengan informasi lengkap mengenai tatacara pengambilan sampel, pengulangan, dan metode statistik yang digunakan</w:t>
      </w:r>
      <w:r>
        <w:rPr>
          <w:rFonts w:ascii="Arial Narrow" w:hAnsi="Arial Narrow"/>
          <w:lang w:val="en-US"/>
        </w:rPr>
        <w:t>.</w:t>
      </w:r>
    </w:p>
    <w:p>
      <w:pPr>
        <w:pStyle w:val="CommentText"/>
      </w:pPr>
    </w:p>
  </w:comment>
  <w:comment w:id="57" w:author="jurnal" w:date="2017-04-12T10:52:00Z" w:initials="j">
    <w:p>
      <w:pPr>
        <w:pStyle w:val="BodyTextIndent3"/>
        <w:numPr>
          <w:ilvl w:val="0"/>
          <w:numId w:val="47"/>
        </w:numPr>
        <w:spacing w:after="0"/>
        <w:ind w:left="284" w:hanging="65"/>
        <w:jc w:val="both"/>
        <w:rPr>
          <w:rFonts w:ascii="Arial Narrow" w:hAnsi="Arial Narrow"/>
          <w:lang w:val="id-ID"/>
        </w:rPr>
      </w:pPr>
      <w:r>
        <w:rPr>
          <w:rStyle w:val="CommentReference"/>
        </w:rPr>
        <w:annotationRef/>
      </w:r>
      <w:r>
        <w:rPr>
          <w:rFonts w:ascii="Arial Narrow" w:hAnsi="Arial Narrow"/>
        </w:rPr>
        <w:t xml:space="preserve">Data yang disajikan dalam bentuk rata-rata dilengkapi dengan </w:t>
      </w:r>
      <w:r>
        <w:rPr>
          <w:rFonts w:ascii="Arial Narrow" w:hAnsi="Arial Narrow"/>
          <w:i/>
        </w:rPr>
        <w:t xml:space="preserve">Standard Deviasi </w:t>
      </w:r>
      <w:r>
        <w:rPr>
          <w:rFonts w:ascii="Arial Narrow" w:hAnsi="Arial Narrow"/>
        </w:rPr>
        <w:t xml:space="preserve">(SD) atau </w:t>
      </w:r>
      <w:r>
        <w:rPr>
          <w:rFonts w:ascii="Arial Narrow" w:hAnsi="Arial Narrow"/>
          <w:i/>
        </w:rPr>
        <w:t xml:space="preserve">Standard Error of Mean </w:t>
      </w:r>
      <w:r>
        <w:rPr>
          <w:rFonts w:ascii="Arial Narrow" w:hAnsi="Arial Narrow"/>
        </w:rPr>
        <w:t>(SEM) dalam tabel atau gambar</w:t>
      </w:r>
      <w:r>
        <w:rPr>
          <w:rFonts w:ascii="Arial Narrow" w:hAnsi="Arial Narrow"/>
          <w:lang w:val="en-US"/>
        </w:rPr>
        <w:t xml:space="preserve">. </w:t>
      </w:r>
    </w:p>
    <w:p>
      <w:pPr>
        <w:pStyle w:val="BodyTextIndent3"/>
        <w:numPr>
          <w:ilvl w:val="0"/>
          <w:numId w:val="47"/>
        </w:numPr>
        <w:spacing w:after="0"/>
        <w:ind w:left="284" w:hanging="65"/>
        <w:jc w:val="both"/>
        <w:rPr>
          <w:rFonts w:ascii="Arial Narrow" w:hAnsi="Arial Narrow"/>
          <w:lang w:val="id-ID"/>
        </w:rPr>
      </w:pPr>
      <w:r>
        <w:rPr>
          <w:rFonts w:ascii="Arial Narrow" w:hAnsi="Arial Narrow"/>
          <w:lang w:val="en-US"/>
        </w:rPr>
        <w:t>D</w:t>
      </w:r>
      <w:r>
        <w:rPr>
          <w:rFonts w:ascii="Arial Narrow" w:hAnsi="Arial Narrow"/>
        </w:rPr>
        <w:t>ata yang disertai dengan analisis statistik yang sesuai, harus dilengkapi dengan informasi lengkap mengenai tatacara pengambilan sampel, pengulangan, dan metode statistik yang digunakan</w:t>
      </w:r>
      <w:r>
        <w:rPr>
          <w:rFonts w:ascii="Arial Narrow" w:hAnsi="Arial Narrow"/>
          <w:lang w:val="en-US"/>
        </w:rPr>
        <w:t>.</w:t>
      </w:r>
    </w:p>
    <w:p>
      <w:pPr>
        <w:pStyle w:val="CommentText"/>
      </w:pPr>
    </w:p>
  </w:comment>
  <w:comment w:id="58" w:author="jurnal" w:date="2017-04-12T10:52:00Z" w:initials="j">
    <w:p>
      <w:pPr>
        <w:pStyle w:val="BodyTextIndent3"/>
        <w:numPr>
          <w:ilvl w:val="0"/>
          <w:numId w:val="47"/>
        </w:numPr>
        <w:spacing w:after="0"/>
        <w:ind w:left="284" w:hanging="65"/>
        <w:jc w:val="both"/>
        <w:rPr>
          <w:rFonts w:ascii="Arial Narrow" w:hAnsi="Arial Narrow"/>
          <w:lang w:val="id-ID"/>
        </w:rPr>
      </w:pPr>
      <w:r>
        <w:rPr>
          <w:rStyle w:val="CommentReference"/>
        </w:rPr>
        <w:annotationRef/>
      </w:r>
      <w:r>
        <w:rPr>
          <w:rFonts w:ascii="Arial Narrow" w:hAnsi="Arial Narrow"/>
        </w:rPr>
        <w:t xml:space="preserve">Data yang disajikan dalam bentuk rata-rata dilengkapi dengan </w:t>
      </w:r>
      <w:r>
        <w:rPr>
          <w:rFonts w:ascii="Arial Narrow" w:hAnsi="Arial Narrow"/>
          <w:i/>
        </w:rPr>
        <w:t xml:space="preserve">Standard Deviasi </w:t>
      </w:r>
      <w:r>
        <w:rPr>
          <w:rFonts w:ascii="Arial Narrow" w:hAnsi="Arial Narrow"/>
        </w:rPr>
        <w:t xml:space="preserve">(SD) atau </w:t>
      </w:r>
      <w:r>
        <w:rPr>
          <w:rFonts w:ascii="Arial Narrow" w:hAnsi="Arial Narrow"/>
          <w:i/>
        </w:rPr>
        <w:t xml:space="preserve">Standard Error of Mean </w:t>
      </w:r>
      <w:r>
        <w:rPr>
          <w:rFonts w:ascii="Arial Narrow" w:hAnsi="Arial Narrow"/>
        </w:rPr>
        <w:t>(SEM) dalam tabel atau gambar</w:t>
      </w:r>
      <w:r>
        <w:rPr>
          <w:rFonts w:ascii="Arial Narrow" w:hAnsi="Arial Narrow"/>
          <w:lang w:val="en-US"/>
        </w:rPr>
        <w:t xml:space="preserve">. </w:t>
      </w:r>
    </w:p>
    <w:p>
      <w:pPr>
        <w:pStyle w:val="BodyTextIndent3"/>
        <w:numPr>
          <w:ilvl w:val="0"/>
          <w:numId w:val="47"/>
        </w:numPr>
        <w:spacing w:after="0"/>
        <w:ind w:left="284" w:hanging="65"/>
        <w:jc w:val="both"/>
        <w:rPr>
          <w:rFonts w:ascii="Arial Narrow" w:hAnsi="Arial Narrow"/>
          <w:lang w:val="id-ID"/>
        </w:rPr>
      </w:pPr>
      <w:r>
        <w:rPr>
          <w:rFonts w:ascii="Arial Narrow" w:hAnsi="Arial Narrow"/>
          <w:lang w:val="en-US"/>
        </w:rPr>
        <w:t>D</w:t>
      </w:r>
      <w:r>
        <w:rPr>
          <w:rFonts w:ascii="Arial Narrow" w:hAnsi="Arial Narrow"/>
        </w:rPr>
        <w:t>ata yang disertai dengan analisis statistik yang sesuai, harus dilengkapi dengan informasi lengkap mengenai tatacara pengambilan sampel, pengulangan, dan metode statistik yang digunakan</w:t>
      </w:r>
      <w:r>
        <w:rPr>
          <w:rFonts w:ascii="Arial Narrow" w:hAnsi="Arial Narrow"/>
          <w:lang w:val="en-US"/>
        </w:rPr>
        <w:t>.</w:t>
      </w:r>
    </w:p>
    <w:p>
      <w:pPr>
        <w:pStyle w:val="CommentText"/>
      </w:pPr>
    </w:p>
  </w:comment>
  <w:comment w:id="59" w:author="jurnal" w:date="2017-04-12T10:53:00Z" w:initials="j">
    <w:p>
      <w:pPr>
        <w:pStyle w:val="BodyTextIndent3"/>
        <w:numPr>
          <w:ilvl w:val="0"/>
          <w:numId w:val="47"/>
        </w:numPr>
        <w:spacing w:after="0"/>
        <w:ind w:left="284" w:hanging="65"/>
        <w:jc w:val="both"/>
        <w:rPr>
          <w:rFonts w:ascii="Arial Narrow" w:hAnsi="Arial Narrow"/>
          <w:lang w:val="id-ID"/>
        </w:rPr>
      </w:pPr>
      <w:r>
        <w:rPr>
          <w:rStyle w:val="CommentReference"/>
        </w:rPr>
        <w:annotationRef/>
      </w:r>
      <w:r>
        <w:rPr>
          <w:rFonts w:ascii="Arial Narrow" w:hAnsi="Arial Narrow"/>
        </w:rPr>
        <w:t xml:space="preserve">Data yang disajikan dalam bentuk rata-rata dilengkapi dengan </w:t>
      </w:r>
      <w:r>
        <w:rPr>
          <w:rFonts w:ascii="Arial Narrow" w:hAnsi="Arial Narrow"/>
          <w:i/>
        </w:rPr>
        <w:t xml:space="preserve">Standard Deviasi </w:t>
      </w:r>
      <w:r>
        <w:rPr>
          <w:rFonts w:ascii="Arial Narrow" w:hAnsi="Arial Narrow"/>
        </w:rPr>
        <w:t xml:space="preserve">(SD) atau </w:t>
      </w:r>
      <w:r>
        <w:rPr>
          <w:rFonts w:ascii="Arial Narrow" w:hAnsi="Arial Narrow"/>
          <w:i/>
        </w:rPr>
        <w:t xml:space="preserve">Standard Error of Mean </w:t>
      </w:r>
      <w:r>
        <w:rPr>
          <w:rFonts w:ascii="Arial Narrow" w:hAnsi="Arial Narrow"/>
        </w:rPr>
        <w:t>(SEM) dalam tabel atau gambar</w:t>
      </w:r>
      <w:r>
        <w:rPr>
          <w:rFonts w:ascii="Arial Narrow" w:hAnsi="Arial Narrow"/>
          <w:lang w:val="en-US"/>
        </w:rPr>
        <w:t xml:space="preserve">. </w:t>
      </w:r>
    </w:p>
    <w:p>
      <w:pPr>
        <w:pStyle w:val="BodyTextIndent3"/>
        <w:numPr>
          <w:ilvl w:val="0"/>
          <w:numId w:val="47"/>
        </w:numPr>
        <w:spacing w:after="0"/>
        <w:ind w:left="284" w:hanging="65"/>
        <w:jc w:val="both"/>
        <w:rPr>
          <w:rFonts w:ascii="Arial Narrow" w:hAnsi="Arial Narrow"/>
          <w:lang w:val="id-ID"/>
        </w:rPr>
      </w:pPr>
      <w:r>
        <w:rPr>
          <w:rFonts w:ascii="Arial Narrow" w:hAnsi="Arial Narrow"/>
          <w:lang w:val="en-US"/>
        </w:rPr>
        <w:t>D</w:t>
      </w:r>
      <w:r>
        <w:rPr>
          <w:rFonts w:ascii="Arial Narrow" w:hAnsi="Arial Narrow"/>
        </w:rPr>
        <w:t>ata yang disertai dengan analisis statistik yang sesuai, harus dilengkapi dengan informasi lengkap mengenai tatacara pengambilan sampel, pengulangan, dan metode statistik yang digunakan</w:t>
      </w:r>
      <w:r>
        <w:rPr>
          <w:rFonts w:ascii="Arial Narrow" w:hAnsi="Arial Narrow"/>
          <w:lang w:val="en-US"/>
        </w:rPr>
        <w:t>.</w:t>
      </w:r>
    </w:p>
    <w:p>
      <w:pPr>
        <w:pStyle w:val="CommentText"/>
      </w:pPr>
    </w:p>
    <w:p>
      <w:pPr>
        <w:pStyle w:val="CommentText"/>
      </w:pPr>
    </w:p>
    <w:p>
      <w:pPr>
        <w:pStyle w:val="CommentText"/>
      </w:pPr>
      <w:r>
        <w:t>Atau tambahkan eror bar</w:t>
      </w:r>
      <w:bookmarkStart w:id="60" w:name="_GoBack"/>
      <w:bookmarkEnd w:id="6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055983"/>
      <w:docPartObj>
        <w:docPartGallery w:val="Page Numbers (Top of Page)"/>
        <w:docPartUnique/>
      </w:docPartObj>
    </w:sdtPr>
    <w:sdtEndPr>
      <w:rPr>
        <w:noProof/>
      </w:rPr>
    </w:sdtEndPr>
    <w:sdtContent>
      <w:p>
        <w:pPr>
          <w:pStyle w:val="Header"/>
          <w:ind w:firstLine="0"/>
        </w:pPr>
        <w:r>
          <w:fldChar w:fldCharType="begin"/>
        </w:r>
        <w:r>
          <w:instrText xml:space="preserve"> PAGE   \* MERGEFORMAT </w:instrText>
        </w:r>
        <w:r>
          <w:fldChar w:fldCharType="separate"/>
        </w:r>
        <w:r>
          <w:rPr>
            <w:noProof/>
          </w:rPr>
          <w:t>24</w:t>
        </w:r>
        <w:r>
          <w:rPr>
            <w:noProof/>
          </w:rPr>
          <w:fldChar w:fldCharType="end"/>
        </w:r>
      </w:p>
    </w:sdtContent>
  </w:sdt>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11554"/>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noProof/>
          </w:rPr>
          <w:t>16</w:t>
        </w:r>
        <w:r>
          <w:rPr>
            <w:noProof/>
          </w:rPr>
          <w:fldChar w:fldCharType="end"/>
        </w:r>
      </w:p>
    </w:sdtContent>
  </w:sdt>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1346"/>
    <w:multiLevelType w:val="hybridMultilevel"/>
    <w:tmpl w:val="BF7EC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566F4"/>
    <w:multiLevelType w:val="hybridMultilevel"/>
    <w:tmpl w:val="F2A0A96A"/>
    <w:lvl w:ilvl="0" w:tplc="DC380C8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AB1283"/>
    <w:multiLevelType w:val="hybridMultilevel"/>
    <w:tmpl w:val="DCFC6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802772"/>
    <w:multiLevelType w:val="hybridMultilevel"/>
    <w:tmpl w:val="E788ED82"/>
    <w:lvl w:ilvl="0" w:tplc="16CAC50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5632383"/>
    <w:multiLevelType w:val="hybridMultilevel"/>
    <w:tmpl w:val="CB7A9B62"/>
    <w:lvl w:ilvl="0" w:tplc="8FD20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A0C7CCD"/>
    <w:multiLevelType w:val="hybridMultilevel"/>
    <w:tmpl w:val="1036625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C0179F8"/>
    <w:multiLevelType w:val="hybridMultilevel"/>
    <w:tmpl w:val="7FD2118A"/>
    <w:lvl w:ilvl="0" w:tplc="26BC64E8">
      <w:start w:val="1"/>
      <w:numFmt w:val="lowerLetter"/>
      <w:lvlText w:val="(%1)"/>
      <w:lvlJc w:val="left"/>
      <w:pPr>
        <w:ind w:left="2436" w:hanging="360"/>
      </w:pPr>
      <w:rPr>
        <w:rFonts w:hint="default"/>
      </w:rPr>
    </w:lvl>
    <w:lvl w:ilvl="1" w:tplc="04090019" w:tentative="1">
      <w:start w:val="1"/>
      <w:numFmt w:val="lowerLetter"/>
      <w:lvlText w:val="%2."/>
      <w:lvlJc w:val="left"/>
      <w:pPr>
        <w:ind w:left="3156" w:hanging="360"/>
      </w:pPr>
    </w:lvl>
    <w:lvl w:ilvl="2" w:tplc="0409001B" w:tentative="1">
      <w:start w:val="1"/>
      <w:numFmt w:val="lowerRoman"/>
      <w:lvlText w:val="%3."/>
      <w:lvlJc w:val="right"/>
      <w:pPr>
        <w:ind w:left="3876" w:hanging="180"/>
      </w:pPr>
    </w:lvl>
    <w:lvl w:ilvl="3" w:tplc="0409000F" w:tentative="1">
      <w:start w:val="1"/>
      <w:numFmt w:val="decimal"/>
      <w:lvlText w:val="%4."/>
      <w:lvlJc w:val="left"/>
      <w:pPr>
        <w:ind w:left="4596" w:hanging="360"/>
      </w:pPr>
    </w:lvl>
    <w:lvl w:ilvl="4" w:tplc="04090019" w:tentative="1">
      <w:start w:val="1"/>
      <w:numFmt w:val="lowerLetter"/>
      <w:lvlText w:val="%5."/>
      <w:lvlJc w:val="left"/>
      <w:pPr>
        <w:ind w:left="5316" w:hanging="360"/>
      </w:pPr>
    </w:lvl>
    <w:lvl w:ilvl="5" w:tplc="0409001B" w:tentative="1">
      <w:start w:val="1"/>
      <w:numFmt w:val="lowerRoman"/>
      <w:lvlText w:val="%6."/>
      <w:lvlJc w:val="right"/>
      <w:pPr>
        <w:ind w:left="6036" w:hanging="180"/>
      </w:pPr>
    </w:lvl>
    <w:lvl w:ilvl="6" w:tplc="0409000F" w:tentative="1">
      <w:start w:val="1"/>
      <w:numFmt w:val="decimal"/>
      <w:lvlText w:val="%7."/>
      <w:lvlJc w:val="left"/>
      <w:pPr>
        <w:ind w:left="6756" w:hanging="360"/>
      </w:pPr>
    </w:lvl>
    <w:lvl w:ilvl="7" w:tplc="04090019" w:tentative="1">
      <w:start w:val="1"/>
      <w:numFmt w:val="lowerLetter"/>
      <w:lvlText w:val="%8."/>
      <w:lvlJc w:val="left"/>
      <w:pPr>
        <w:ind w:left="7476" w:hanging="360"/>
      </w:pPr>
    </w:lvl>
    <w:lvl w:ilvl="8" w:tplc="0409001B" w:tentative="1">
      <w:start w:val="1"/>
      <w:numFmt w:val="lowerRoman"/>
      <w:lvlText w:val="%9."/>
      <w:lvlJc w:val="right"/>
      <w:pPr>
        <w:ind w:left="8196" w:hanging="180"/>
      </w:pPr>
    </w:lvl>
  </w:abstractNum>
  <w:abstractNum w:abstractNumId="7">
    <w:nsid w:val="1DA735E9"/>
    <w:multiLevelType w:val="hybridMultilevel"/>
    <w:tmpl w:val="EAC87972"/>
    <w:lvl w:ilvl="0" w:tplc="19A428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582D87"/>
    <w:multiLevelType w:val="hybridMultilevel"/>
    <w:tmpl w:val="DB9CB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E4F2E"/>
    <w:multiLevelType w:val="hybridMultilevel"/>
    <w:tmpl w:val="2B9C4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C7363"/>
    <w:multiLevelType w:val="hybridMultilevel"/>
    <w:tmpl w:val="A26EE0B8"/>
    <w:lvl w:ilvl="0" w:tplc="135C2E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07C4F"/>
    <w:multiLevelType w:val="hybridMultilevel"/>
    <w:tmpl w:val="4B14AC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5E26A1"/>
    <w:multiLevelType w:val="hybridMultilevel"/>
    <w:tmpl w:val="6D804144"/>
    <w:lvl w:ilvl="0" w:tplc="F91EC154">
      <w:start w:val="1"/>
      <w:numFmt w:val="lowerLetter"/>
      <w:lvlText w:val="%1."/>
      <w:lvlJc w:val="right"/>
      <w:pPr>
        <w:ind w:left="1211" w:hanging="360"/>
      </w:pPr>
      <w:rPr>
        <w:rFonts w:hint="default"/>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13">
    <w:nsid w:val="2A1B0CCA"/>
    <w:multiLevelType w:val="multilevel"/>
    <w:tmpl w:val="327C2432"/>
    <w:lvl w:ilvl="0">
      <w:start w:val="1"/>
      <w:numFmt w:val="decimal"/>
      <w:lvlText w:val="(%1)"/>
      <w:lvlJc w:val="right"/>
      <w:pPr>
        <w:ind w:left="786"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nsid w:val="2B85518B"/>
    <w:multiLevelType w:val="hybridMultilevel"/>
    <w:tmpl w:val="DB6C3724"/>
    <w:lvl w:ilvl="0" w:tplc="DBBEA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335FE2"/>
    <w:multiLevelType w:val="hybridMultilevel"/>
    <w:tmpl w:val="05E222B8"/>
    <w:lvl w:ilvl="0" w:tplc="C750D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E84867"/>
    <w:multiLevelType w:val="hybridMultilevel"/>
    <w:tmpl w:val="DC9869EC"/>
    <w:lvl w:ilvl="0" w:tplc="0409000F">
      <w:start w:val="1"/>
      <w:numFmt w:val="decimal"/>
      <w:lvlText w:val="%1."/>
      <w:lvlJc w:val="left"/>
      <w:pPr>
        <w:ind w:left="7694" w:hanging="360"/>
      </w:pPr>
    </w:lvl>
    <w:lvl w:ilvl="1" w:tplc="04090019" w:tentative="1">
      <w:start w:val="1"/>
      <w:numFmt w:val="lowerLetter"/>
      <w:lvlText w:val="%2."/>
      <w:lvlJc w:val="left"/>
      <w:pPr>
        <w:ind w:left="8414" w:hanging="360"/>
      </w:pPr>
    </w:lvl>
    <w:lvl w:ilvl="2" w:tplc="0409001B" w:tentative="1">
      <w:start w:val="1"/>
      <w:numFmt w:val="lowerRoman"/>
      <w:lvlText w:val="%3."/>
      <w:lvlJc w:val="right"/>
      <w:pPr>
        <w:ind w:left="9134" w:hanging="180"/>
      </w:pPr>
    </w:lvl>
    <w:lvl w:ilvl="3" w:tplc="0409000F" w:tentative="1">
      <w:start w:val="1"/>
      <w:numFmt w:val="decimal"/>
      <w:lvlText w:val="%4."/>
      <w:lvlJc w:val="left"/>
      <w:pPr>
        <w:ind w:left="9854" w:hanging="360"/>
      </w:pPr>
    </w:lvl>
    <w:lvl w:ilvl="4" w:tplc="04090019" w:tentative="1">
      <w:start w:val="1"/>
      <w:numFmt w:val="lowerLetter"/>
      <w:lvlText w:val="%5."/>
      <w:lvlJc w:val="left"/>
      <w:pPr>
        <w:ind w:left="10574" w:hanging="360"/>
      </w:pPr>
    </w:lvl>
    <w:lvl w:ilvl="5" w:tplc="0409001B" w:tentative="1">
      <w:start w:val="1"/>
      <w:numFmt w:val="lowerRoman"/>
      <w:lvlText w:val="%6."/>
      <w:lvlJc w:val="right"/>
      <w:pPr>
        <w:ind w:left="11294" w:hanging="180"/>
      </w:pPr>
    </w:lvl>
    <w:lvl w:ilvl="6" w:tplc="0409000F" w:tentative="1">
      <w:start w:val="1"/>
      <w:numFmt w:val="decimal"/>
      <w:lvlText w:val="%7."/>
      <w:lvlJc w:val="left"/>
      <w:pPr>
        <w:ind w:left="12014" w:hanging="360"/>
      </w:pPr>
    </w:lvl>
    <w:lvl w:ilvl="7" w:tplc="04090019" w:tentative="1">
      <w:start w:val="1"/>
      <w:numFmt w:val="lowerLetter"/>
      <w:lvlText w:val="%8."/>
      <w:lvlJc w:val="left"/>
      <w:pPr>
        <w:ind w:left="12734" w:hanging="360"/>
      </w:pPr>
    </w:lvl>
    <w:lvl w:ilvl="8" w:tplc="0409001B" w:tentative="1">
      <w:start w:val="1"/>
      <w:numFmt w:val="lowerRoman"/>
      <w:lvlText w:val="%9."/>
      <w:lvlJc w:val="right"/>
      <w:pPr>
        <w:ind w:left="13454" w:hanging="180"/>
      </w:pPr>
    </w:lvl>
  </w:abstractNum>
  <w:abstractNum w:abstractNumId="17">
    <w:nsid w:val="3FCB0983"/>
    <w:multiLevelType w:val="hybridMultilevel"/>
    <w:tmpl w:val="8578DC34"/>
    <w:lvl w:ilvl="0" w:tplc="10E0A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5562B24"/>
    <w:multiLevelType w:val="hybridMultilevel"/>
    <w:tmpl w:val="C21A121A"/>
    <w:lvl w:ilvl="0" w:tplc="DB665992">
      <w:start w:val="1"/>
      <w:numFmt w:val="decimal"/>
      <w:lvlText w:val="%1."/>
      <w:lvlJc w:val="left"/>
      <w:pPr>
        <w:ind w:left="1080" w:hanging="360"/>
      </w:pPr>
      <w:rPr>
        <w:rFonts w:ascii="Times New Roman" w:eastAsiaTheme="minorEastAsia"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7971F8"/>
    <w:multiLevelType w:val="hybridMultilevel"/>
    <w:tmpl w:val="40C8B08C"/>
    <w:lvl w:ilvl="0" w:tplc="10D87DF8">
      <w:start w:val="1"/>
      <w:numFmt w:val="decimal"/>
      <w:pStyle w:val="DaftarIlustrasi"/>
      <w:lvlText w:val="%1"/>
      <w:lvlJc w:val="right"/>
      <w:pPr>
        <w:ind w:left="644" w:hanging="360"/>
      </w:pPr>
      <w:rPr>
        <w:rFonts w:ascii="Times New Roman" w:hAnsi="Times New Roman" w:hint="default"/>
        <w:sz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486D4DBA"/>
    <w:multiLevelType w:val="hybridMultilevel"/>
    <w:tmpl w:val="56FA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8A45A3"/>
    <w:multiLevelType w:val="hybridMultilevel"/>
    <w:tmpl w:val="365E4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073F7"/>
    <w:multiLevelType w:val="hybridMultilevel"/>
    <w:tmpl w:val="4CCA75A4"/>
    <w:lvl w:ilvl="0" w:tplc="56161EF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95E30E4"/>
    <w:multiLevelType w:val="multilevel"/>
    <w:tmpl w:val="903016EC"/>
    <w:lvl w:ilvl="0">
      <w:start w:val="1"/>
      <w:numFmt w:val="decimal"/>
      <w:lvlText w:val="%1"/>
      <w:lvlJc w:val="right"/>
      <w:pPr>
        <w:ind w:left="786" w:hanging="360"/>
      </w:pPr>
      <w:rPr>
        <w:rFonts w:ascii="Times New Roman" w:hAnsi="Times New Roman" w:hint="default"/>
        <w:sz w:val="24"/>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24">
    <w:nsid w:val="59D03AA6"/>
    <w:multiLevelType w:val="hybridMultilevel"/>
    <w:tmpl w:val="E4787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337808"/>
    <w:multiLevelType w:val="hybridMultilevel"/>
    <w:tmpl w:val="BDFAC758"/>
    <w:lvl w:ilvl="0" w:tplc="B9F47F8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5F53E47"/>
    <w:multiLevelType w:val="hybridMultilevel"/>
    <w:tmpl w:val="A02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0B069F"/>
    <w:multiLevelType w:val="hybridMultilevel"/>
    <w:tmpl w:val="7DEE99D6"/>
    <w:lvl w:ilvl="0" w:tplc="1728C9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97C1625"/>
    <w:multiLevelType w:val="hybridMultilevel"/>
    <w:tmpl w:val="92F8CA68"/>
    <w:lvl w:ilvl="0" w:tplc="CF2209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AB61CF8"/>
    <w:multiLevelType w:val="hybridMultilevel"/>
    <w:tmpl w:val="35708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697669"/>
    <w:multiLevelType w:val="hybridMultilevel"/>
    <w:tmpl w:val="AE2C6320"/>
    <w:lvl w:ilvl="0" w:tplc="2080502C">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6C43038B"/>
    <w:multiLevelType w:val="hybridMultilevel"/>
    <w:tmpl w:val="613E00E4"/>
    <w:lvl w:ilvl="0" w:tplc="357E83A2">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nsid w:val="763C2423"/>
    <w:multiLevelType w:val="hybridMultilevel"/>
    <w:tmpl w:val="A68006CA"/>
    <w:lvl w:ilvl="0" w:tplc="4B7C64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82025A6"/>
    <w:multiLevelType w:val="hybridMultilevel"/>
    <w:tmpl w:val="8A5677BE"/>
    <w:lvl w:ilvl="0" w:tplc="3C3057C0">
      <w:start w:val="1"/>
      <w:numFmt w:val="lowerLetter"/>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3"/>
  </w:num>
  <w:num w:numId="4">
    <w:abstractNumId w:val="23"/>
  </w:num>
  <w:num w:numId="5">
    <w:abstractNumId w:val="28"/>
  </w:num>
  <w:num w:numId="6">
    <w:abstractNumId w:val="19"/>
    <w:lvlOverride w:ilvl="0">
      <w:startOverride w:val="1"/>
    </w:lvlOverride>
  </w:num>
  <w:num w:numId="7">
    <w:abstractNumId w:val="19"/>
    <w:lvlOverride w:ilvl="0">
      <w:startOverride w:val="1"/>
    </w:lvlOverride>
  </w:num>
  <w:num w:numId="8">
    <w:abstractNumId w:val="19"/>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9"/>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9"/>
    <w:lvlOverride w:ilvl="0">
      <w:startOverride w:val="1"/>
    </w:lvlOverride>
  </w:num>
  <w:num w:numId="16">
    <w:abstractNumId w:val="19"/>
    <w:lvlOverride w:ilvl="0">
      <w:startOverride w:val="1"/>
    </w:lvlOverride>
  </w:num>
  <w:num w:numId="17">
    <w:abstractNumId w:val="19"/>
    <w:lvlOverride w:ilvl="0">
      <w:startOverride w:val="1"/>
    </w:lvlOverride>
  </w:num>
  <w:num w:numId="18">
    <w:abstractNumId w:val="19"/>
    <w:lvlOverride w:ilvl="0">
      <w:startOverride w:val="1"/>
    </w:lvlOverride>
  </w:num>
  <w:num w:numId="19">
    <w:abstractNumId w:val="18"/>
  </w:num>
  <w:num w:numId="20">
    <w:abstractNumId w:val="2"/>
  </w:num>
  <w:num w:numId="21">
    <w:abstractNumId w:val="29"/>
  </w:num>
  <w:num w:numId="22">
    <w:abstractNumId w:val="30"/>
  </w:num>
  <w:num w:numId="23">
    <w:abstractNumId w:val="26"/>
  </w:num>
  <w:num w:numId="24">
    <w:abstractNumId w:val="20"/>
  </w:num>
  <w:num w:numId="25">
    <w:abstractNumId w:val="0"/>
  </w:num>
  <w:num w:numId="26">
    <w:abstractNumId w:val="15"/>
  </w:num>
  <w:num w:numId="27">
    <w:abstractNumId w:val="31"/>
  </w:num>
  <w:num w:numId="28">
    <w:abstractNumId w:val="22"/>
  </w:num>
  <w:num w:numId="29">
    <w:abstractNumId w:val="25"/>
  </w:num>
  <w:num w:numId="30">
    <w:abstractNumId w:val="6"/>
  </w:num>
  <w:num w:numId="31">
    <w:abstractNumId w:val="21"/>
  </w:num>
  <w:num w:numId="32">
    <w:abstractNumId w:val="3"/>
  </w:num>
  <w:num w:numId="33">
    <w:abstractNumId w:val="1"/>
  </w:num>
  <w:num w:numId="34">
    <w:abstractNumId w:val="7"/>
  </w:num>
  <w:num w:numId="35">
    <w:abstractNumId w:val="10"/>
  </w:num>
  <w:num w:numId="36">
    <w:abstractNumId w:val="8"/>
  </w:num>
  <w:num w:numId="37">
    <w:abstractNumId w:val="27"/>
  </w:num>
  <w:num w:numId="38">
    <w:abstractNumId w:val="16"/>
  </w:num>
  <w:num w:numId="39">
    <w:abstractNumId w:val="11"/>
  </w:num>
  <w:num w:numId="40">
    <w:abstractNumId w:val="14"/>
  </w:num>
  <w:num w:numId="41">
    <w:abstractNumId w:val="9"/>
  </w:num>
  <w:num w:numId="42">
    <w:abstractNumId w:val="24"/>
  </w:num>
  <w:num w:numId="43">
    <w:abstractNumId w:val="17"/>
  </w:num>
  <w:num w:numId="44">
    <w:abstractNumId w:val="4"/>
  </w:num>
  <w:num w:numId="45">
    <w:abstractNumId w:val="32"/>
  </w:num>
  <w:num w:numId="46">
    <w:abstractNumId w:val="12"/>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ubuh Tulisan"/>
    <w:qFormat/>
    <w:pPr>
      <w:spacing w:after="0" w:line="240" w:lineRule="auto"/>
      <w:ind w:firstLine="567"/>
      <w:jc w:val="both"/>
    </w:pPr>
    <w:rPr>
      <w:rFonts w:ascii="Times New Roman" w:eastAsiaTheme="minorEastAsia" w:hAnsi="Times New Roman"/>
      <w:sz w:val="24"/>
      <w:lang w:eastAsia="ja-JP"/>
    </w:rPr>
  </w:style>
  <w:style w:type="paragraph" w:styleId="Heading1">
    <w:name w:val="heading 1"/>
    <w:aliases w:val="Judul Bab"/>
    <w:basedOn w:val="Normal"/>
    <w:next w:val="Normal"/>
    <w:link w:val="Heading1Char"/>
    <w:uiPriority w:val="9"/>
    <w:qFormat/>
    <w:pPr>
      <w:keepNext/>
      <w:keepLines/>
      <w:spacing w:after="480"/>
      <w:ind w:firstLine="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qFormat/>
    <w:pPr>
      <w:keepNext/>
      <w:keepLines/>
      <w:spacing w:after="240"/>
      <w:ind w:firstLine="0"/>
      <w:jc w:val="center"/>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qFormat/>
    <w:pPr>
      <w:keepNext/>
      <w:keepLines/>
      <w:ind w:firstLine="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Pr>
      <w:rFonts w:ascii="Times New Roman" w:eastAsiaTheme="majorEastAsia" w:hAnsi="Times New Roman" w:cstheme="majorBidi"/>
      <w:b/>
      <w:bCs/>
      <w:sz w:val="28"/>
      <w:szCs w:val="28"/>
      <w:lang w:eastAsia="ja-JP"/>
    </w:rPr>
  </w:style>
  <w:style w:type="character" w:customStyle="1" w:styleId="Heading2Char">
    <w:name w:val="Heading 2 Char"/>
    <w:aliases w:val="Judul Subbab Char"/>
    <w:basedOn w:val="DefaultParagraphFont"/>
    <w:link w:val="Heading2"/>
    <w:uiPriority w:val="9"/>
    <w:rPr>
      <w:rFonts w:ascii="Times New Roman" w:eastAsiaTheme="majorEastAsia" w:hAnsi="Times New Roman" w:cstheme="majorBidi"/>
      <w:b/>
      <w:bCs/>
      <w:sz w:val="24"/>
      <w:szCs w:val="26"/>
      <w:lang w:eastAsia="ja-JP"/>
    </w:rPr>
  </w:style>
  <w:style w:type="character" w:customStyle="1" w:styleId="Heading3Char">
    <w:name w:val="Heading 3 Char"/>
    <w:aliases w:val="Judul Subsubbab Char"/>
    <w:basedOn w:val="DefaultParagraphFont"/>
    <w:link w:val="Heading3"/>
    <w:uiPriority w:val="9"/>
    <w:rPr>
      <w:rFonts w:ascii="Times New Roman" w:eastAsiaTheme="majorEastAsia" w:hAnsi="Times New Roman" w:cstheme="majorBidi"/>
      <w:b/>
      <w:bCs/>
      <w:sz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ja-JP"/>
    </w:rPr>
  </w:style>
  <w:style w:type="paragraph" w:styleId="Caption">
    <w:name w:val="caption"/>
    <w:aliases w:val="Judul Tabel,Gambar,dan Lampiran"/>
    <w:basedOn w:val="Normal"/>
    <w:next w:val="Normal"/>
    <w:uiPriority w:val="35"/>
    <w:unhideWhenUsed/>
    <w:qFormat/>
    <w:pPr>
      <w:spacing w:before="60" w:after="200"/>
      <w:ind w:left="567" w:hanging="567"/>
      <w:jc w:val="left"/>
    </w:pPr>
    <w:rPr>
      <w:bCs/>
      <w:szCs w:val="18"/>
    </w:rPr>
  </w:style>
  <w:style w:type="paragraph" w:styleId="NoSpacing">
    <w:name w:val="No Spacing"/>
    <w:uiPriority w:val="1"/>
    <w:qFormat/>
    <w:pPr>
      <w:spacing w:after="0" w:line="240" w:lineRule="auto"/>
      <w:ind w:firstLine="567"/>
      <w:jc w:val="both"/>
    </w:pPr>
    <w:rPr>
      <w:rFonts w:ascii="Times New Roman" w:eastAsiaTheme="minorEastAsia" w:hAnsi="Times New Roman"/>
      <w:sz w:val="24"/>
      <w:lang w:eastAsia="ja-JP"/>
    </w:rPr>
  </w:style>
  <w:style w:type="paragraph" w:styleId="Header">
    <w:name w:val="header"/>
    <w:basedOn w:val="Normal"/>
    <w:link w:val="HeaderChar"/>
    <w:uiPriority w:val="99"/>
    <w:unhideWhenUsed/>
    <w:pPr>
      <w:tabs>
        <w:tab w:val="center" w:pos="4419"/>
        <w:tab w:val="right" w:pos="8838"/>
      </w:tabs>
    </w:pPr>
  </w:style>
  <w:style w:type="character" w:customStyle="1" w:styleId="HeaderChar">
    <w:name w:val="Header Char"/>
    <w:basedOn w:val="DefaultParagraphFont"/>
    <w:link w:val="Header"/>
    <w:uiPriority w:val="99"/>
    <w:rPr>
      <w:rFonts w:ascii="Times New Roman" w:eastAsiaTheme="minorEastAsia" w:hAnsi="Times New Roman"/>
      <w:sz w:val="24"/>
      <w:lang w:eastAsia="ja-JP"/>
    </w:rPr>
  </w:style>
  <w:style w:type="paragraph" w:styleId="Footer">
    <w:name w:val="footer"/>
    <w:basedOn w:val="Normal"/>
    <w:link w:val="FooterChar"/>
    <w:uiPriority w:val="99"/>
    <w:unhideWhenUsed/>
    <w:pPr>
      <w:tabs>
        <w:tab w:val="center" w:pos="4419"/>
        <w:tab w:val="right" w:pos="8838"/>
      </w:tabs>
    </w:pPr>
  </w:style>
  <w:style w:type="character" w:customStyle="1" w:styleId="FooterChar">
    <w:name w:val="Footer Char"/>
    <w:basedOn w:val="DefaultParagraphFont"/>
    <w:link w:val="Footer"/>
    <w:uiPriority w:val="99"/>
    <w:rPr>
      <w:rFonts w:ascii="Times New Roman" w:eastAsiaTheme="minorEastAsia" w:hAnsi="Times New Roman"/>
      <w:sz w:val="24"/>
      <w:lang w:eastAsia="ja-JP"/>
    </w:rPr>
  </w:style>
  <w:style w:type="paragraph" w:styleId="TOCHeading">
    <w:name w:val="TOC Heading"/>
    <w:basedOn w:val="Heading1"/>
    <w:next w:val="Normal"/>
    <w:uiPriority w:val="39"/>
    <w:unhideWhenUsed/>
    <w:qFormat/>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pPr>
      <w:spacing w:after="100" w:line="276" w:lineRule="auto"/>
      <w:ind w:left="220" w:firstLine="0"/>
      <w:jc w:val="left"/>
    </w:pPr>
    <w:rPr>
      <w:lang w:eastAsia="en-US"/>
    </w:rPr>
  </w:style>
  <w:style w:type="paragraph" w:styleId="TOC1">
    <w:name w:val="toc 1"/>
    <w:basedOn w:val="Normal"/>
    <w:next w:val="Normal"/>
    <w:autoRedefine/>
    <w:uiPriority w:val="39"/>
    <w:unhideWhenUsed/>
    <w:pPr>
      <w:spacing w:after="100" w:line="276" w:lineRule="auto"/>
      <w:ind w:firstLine="0"/>
      <w:jc w:val="left"/>
    </w:pPr>
    <w:rPr>
      <w:lang w:eastAsia="en-US"/>
    </w:rPr>
  </w:style>
  <w:style w:type="paragraph" w:styleId="TOC3">
    <w:name w:val="toc 3"/>
    <w:basedOn w:val="Normal"/>
    <w:next w:val="Normal"/>
    <w:autoRedefine/>
    <w:uiPriority w:val="39"/>
    <w:unhideWhenUsed/>
    <w:qFormat/>
    <w:pPr>
      <w:spacing w:after="100" w:line="276" w:lineRule="auto"/>
      <w:ind w:left="440" w:firstLine="0"/>
      <w:jc w:val="left"/>
    </w:pPr>
    <w:rPr>
      <w:lang w:eastAsia="en-US"/>
    </w:rPr>
  </w:style>
  <w:style w:type="character" w:styleId="Hyperlink">
    <w:name w:val="Hyperlink"/>
    <w:basedOn w:val="DefaultParagraphFont"/>
    <w:uiPriority w:val="99"/>
    <w:unhideWhenUsed/>
    <w:rPr>
      <w:color w:val="0000FF" w:themeColor="hyperlink"/>
      <w:u w:val="single"/>
    </w:rPr>
  </w:style>
  <w:style w:type="paragraph" w:customStyle="1" w:styleId="Paragraf">
    <w:name w:val="Paragraf"/>
    <w:basedOn w:val="Normal"/>
    <w:link w:val="ParagrafChar"/>
    <w:qFormat/>
    <w:rPr>
      <w:rFonts w:eastAsia="MS Mincho" w:cs="Arial"/>
      <w:lang w:val="id-ID" w:eastAsia="en-US"/>
    </w:rPr>
  </w:style>
  <w:style w:type="character" w:customStyle="1" w:styleId="ParagrafChar">
    <w:name w:val="Paragraf Char"/>
    <w:link w:val="Paragraf"/>
    <w:rPr>
      <w:rFonts w:ascii="Times New Roman" w:eastAsia="MS Mincho" w:hAnsi="Times New Roman" w:cs="Arial"/>
      <w:sz w:val="24"/>
      <w:lang w:val="id-ID"/>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10"/>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Pr>
      <w:rFonts w:ascii="Times New Roman" w:eastAsia="MS Gothic" w:hAnsi="Times New Roman" w:cs="Times New Roman"/>
      <w:b/>
      <w:caps/>
      <w:spacing w:val="5"/>
      <w:kern w:val="28"/>
      <w:sz w:val="32"/>
      <w:szCs w:val="52"/>
    </w:rPr>
  </w:style>
  <w:style w:type="character" w:customStyle="1" w:styleId="DocumentMapChar">
    <w:name w:val="Document Map Char"/>
    <w:basedOn w:val="DefaultParagraphFont"/>
    <w:link w:val="DocumentMap"/>
    <w:uiPriority w:val="99"/>
    <w:semiHidden/>
    <w:rPr>
      <w:rFonts w:ascii="Tahoma" w:eastAsia="MS Mincho" w:hAnsi="Tahoma" w:cs="Tahoma"/>
      <w:sz w:val="16"/>
      <w:szCs w:val="16"/>
    </w:rPr>
  </w:style>
  <w:style w:type="paragraph" w:styleId="DocumentMap">
    <w:name w:val="Document Map"/>
    <w:basedOn w:val="Normal"/>
    <w:link w:val="DocumentMapChar"/>
    <w:uiPriority w:val="99"/>
    <w:semiHidden/>
    <w:unhideWhenUsed/>
    <w:pPr>
      <w:ind w:firstLine="0"/>
    </w:pPr>
    <w:rPr>
      <w:rFonts w:ascii="Tahoma" w:eastAsia="MS Mincho" w:hAnsi="Tahoma" w:cs="Tahoma"/>
      <w:sz w:val="16"/>
      <w:szCs w:val="16"/>
      <w:lang w:eastAsia="en-US"/>
    </w:rPr>
  </w:style>
  <w:style w:type="character" w:customStyle="1" w:styleId="BodyTextIndentChar">
    <w:name w:val="Body Text Indent Char"/>
    <w:basedOn w:val="DefaultParagraphFont"/>
    <w:link w:val="BodyTextIndent"/>
    <w:uiPriority w:val="99"/>
    <w:semiHidden/>
    <w:rPr>
      <w:rFonts w:ascii="Times New Roman" w:eastAsia="MS Mincho" w:hAnsi="Times New Roman" w:cs="Arial"/>
      <w:sz w:val="24"/>
    </w:rPr>
  </w:style>
  <w:style w:type="paragraph" w:styleId="BodyTextIndent">
    <w:name w:val="Body Text Indent"/>
    <w:basedOn w:val="Normal"/>
    <w:link w:val="BodyTextIndentChar"/>
    <w:uiPriority w:val="99"/>
    <w:semiHidden/>
    <w:unhideWhenUsed/>
    <w:pPr>
      <w:spacing w:after="120"/>
      <w:ind w:left="360" w:firstLine="0"/>
    </w:pPr>
    <w:rPr>
      <w:rFonts w:eastAsia="MS Mincho" w:cs="Arial"/>
      <w:lang w:eastAsia="en-US"/>
    </w:rPr>
  </w:style>
  <w:style w:type="paragraph" w:styleId="TableofFigures">
    <w:name w:val="table of figures"/>
    <w:basedOn w:val="Normal"/>
    <w:next w:val="Normal"/>
    <w:link w:val="TableofFiguresChar"/>
    <w:uiPriority w:val="99"/>
    <w:unhideWhenUsed/>
    <w:pPr>
      <w:ind w:left="644" w:right="567" w:hanging="360"/>
    </w:pPr>
  </w:style>
  <w:style w:type="character" w:customStyle="1" w:styleId="TableofFiguresChar">
    <w:name w:val="Table of Figures Char"/>
    <w:basedOn w:val="DefaultParagraphFont"/>
    <w:link w:val="TableofFigures"/>
    <w:uiPriority w:val="99"/>
    <w:rPr>
      <w:rFonts w:ascii="Times New Roman" w:eastAsiaTheme="minorEastAsia" w:hAnsi="Times New Roman"/>
      <w:sz w:val="24"/>
      <w:lang w:eastAsia="ja-JP"/>
    </w:rPr>
  </w:style>
  <w:style w:type="paragraph" w:styleId="ListParagraph">
    <w:name w:val="List Paragraph"/>
    <w:basedOn w:val="Normal"/>
    <w:uiPriority w:val="34"/>
    <w:qFormat/>
    <w:pPr>
      <w:ind w:left="720"/>
      <w:contextualSpacing/>
    </w:pPr>
  </w:style>
  <w:style w:type="paragraph" w:customStyle="1" w:styleId="DaftarPustaka">
    <w:name w:val="Daftar Pustaka"/>
    <w:basedOn w:val="Normal"/>
    <w:link w:val="DaftarPustakaChar"/>
    <w:qFormat/>
    <w:pPr>
      <w:ind w:left="284" w:hanging="284"/>
    </w:pPr>
    <w:rPr>
      <w:rFonts w:cs="Times New Roman"/>
      <w:szCs w:val="24"/>
    </w:rPr>
  </w:style>
  <w:style w:type="character" w:customStyle="1" w:styleId="DaftarPustakaChar">
    <w:name w:val="Daftar Pustaka Char"/>
    <w:basedOn w:val="DefaultParagraphFont"/>
    <w:link w:val="DaftarPustaka"/>
    <w:rPr>
      <w:rFonts w:ascii="Times New Roman" w:eastAsiaTheme="minorEastAsia" w:hAnsi="Times New Roman" w:cs="Times New Roman"/>
      <w:sz w:val="24"/>
      <w:szCs w:val="24"/>
      <w:lang w:eastAsia="ja-JP"/>
    </w:rPr>
  </w:style>
  <w:style w:type="paragraph" w:customStyle="1" w:styleId="DaftarIlustrasi">
    <w:name w:val="Daftar Ilustrasi"/>
    <w:basedOn w:val="TableofFigures"/>
    <w:link w:val="DaftarIlustrasiChar"/>
    <w:qFormat/>
    <w:pPr>
      <w:numPr>
        <w:numId w:val="1"/>
      </w:numPr>
      <w:tabs>
        <w:tab w:val="right" w:pos="7928"/>
      </w:tabs>
      <w:ind w:left="437" w:hanging="153"/>
    </w:pPr>
  </w:style>
  <w:style w:type="character" w:customStyle="1" w:styleId="DaftarIlustrasiChar">
    <w:name w:val="Daftar Ilustrasi Char"/>
    <w:basedOn w:val="TableofFiguresChar"/>
    <w:link w:val="DaftarIlustrasi"/>
    <w:rPr>
      <w:rFonts w:ascii="Times New Roman" w:eastAsiaTheme="minorEastAsia" w:hAnsi="Times New Roman"/>
      <w:sz w:val="24"/>
      <w:lang w:eastAsia="ja-JP"/>
    </w:rPr>
  </w:style>
  <w:style w:type="paragraph" w:customStyle="1" w:styleId="Equation">
    <w:name w:val="Equation"/>
    <w:basedOn w:val="Normal"/>
    <w:link w:val="EquationChar"/>
    <w:rPr>
      <w:rFonts w:ascii="Cambria Math" w:cs="Times New Roman"/>
    </w:rPr>
  </w:style>
  <w:style w:type="character" w:customStyle="1" w:styleId="EquationChar">
    <w:name w:val="Equation Char"/>
    <w:basedOn w:val="DefaultParagraphFont"/>
    <w:link w:val="Equation"/>
    <w:rPr>
      <w:rFonts w:ascii="Cambria Math" w:eastAsiaTheme="minorEastAsia" w:hAnsi="Times New Roman" w:cs="Times New Roman"/>
      <w:sz w:val="24"/>
      <w:lang w:eastAsia="ja-JP"/>
    </w:rPr>
  </w:style>
  <w:style w:type="paragraph" w:customStyle="1" w:styleId="JudulDaftarIlustrasi">
    <w:name w:val="Judul Daftar Ilustrasi"/>
    <w:basedOn w:val="Heading1"/>
    <w:link w:val="JudulDaftarIlustrasiChar"/>
    <w:qFormat/>
    <w:pPr>
      <w:spacing w:after="240"/>
    </w:pPr>
  </w:style>
  <w:style w:type="character" w:customStyle="1" w:styleId="JudulDaftarIlustrasiChar">
    <w:name w:val="Judul Daftar Ilustrasi Char"/>
    <w:basedOn w:val="Heading1Char"/>
    <w:link w:val="JudulDaftarIlustrasi"/>
    <w:rPr>
      <w:rFonts w:ascii="Times New Roman" w:eastAsiaTheme="majorEastAsia" w:hAnsi="Times New Roman" w:cstheme="majorBidi"/>
      <w:b/>
      <w:bCs/>
      <w:sz w:val="28"/>
      <w:szCs w:val="28"/>
      <w:lang w:eastAsia="ja-JP"/>
    </w:rPr>
  </w:style>
  <w:style w:type="table" w:styleId="TableGrid">
    <w:name w:val="Table Grid"/>
    <w:basedOn w:val="TableNormal"/>
    <w:uiPriority w:val="39"/>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horttext">
    <w:name w:val="short_text"/>
    <w:basedOn w:val="DefaultParagraphFont"/>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spacing w:before="100" w:beforeAutospacing="1" w:after="100" w:afterAutospacing="1"/>
      <w:ind w:firstLine="0"/>
      <w:jc w:val="left"/>
    </w:pPr>
    <w:rPr>
      <w:rFonts w:cs="Times New Roman"/>
      <w:szCs w:val="24"/>
      <w:lang w:eastAsia="en-US"/>
    </w:rPr>
  </w:style>
  <w:style w:type="character" w:customStyle="1" w:styleId="st">
    <w:name w:val="st"/>
    <w:basedOn w:val="DefaultParagraphFont"/>
  </w:style>
  <w:style w:type="character" w:customStyle="1" w:styleId="article-headermeta-info-label">
    <w:name w:val="article-header__meta-info-label"/>
    <w:basedOn w:val="DefaultParagraphFont"/>
  </w:style>
  <w:style w:type="character" w:customStyle="1" w:styleId="article-headermeta-info-data">
    <w:name w:val="article-header__meta-info-data"/>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b/>
      <w:bCs/>
      <w:sz w:val="20"/>
      <w:szCs w:val="20"/>
      <w:lang w:eastAsia="ja-JP"/>
    </w:rPr>
  </w:style>
  <w:style w:type="paragraph" w:styleId="BodyTextIndent3">
    <w:name w:val="Body Text Indent 3"/>
    <w:basedOn w:val="Normal"/>
    <w:link w:val="BodyTextIndent3Char"/>
    <w:unhideWhenUsed/>
    <w:pPr>
      <w:spacing w:after="120"/>
      <w:ind w:left="360" w:firstLine="0"/>
      <w:jc w:val="left"/>
    </w:pPr>
    <w:rPr>
      <w:rFonts w:eastAsia="Times New Roman" w:cs="Times New Roman"/>
      <w:sz w:val="16"/>
      <w:szCs w:val="16"/>
      <w:lang w:val="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ubuh Tulisan"/>
    <w:qFormat/>
    <w:pPr>
      <w:spacing w:after="0" w:line="240" w:lineRule="auto"/>
      <w:ind w:firstLine="567"/>
      <w:jc w:val="both"/>
    </w:pPr>
    <w:rPr>
      <w:rFonts w:ascii="Times New Roman" w:eastAsiaTheme="minorEastAsia" w:hAnsi="Times New Roman"/>
      <w:sz w:val="24"/>
      <w:lang w:eastAsia="ja-JP"/>
    </w:rPr>
  </w:style>
  <w:style w:type="paragraph" w:styleId="Heading1">
    <w:name w:val="heading 1"/>
    <w:aliases w:val="Judul Bab"/>
    <w:basedOn w:val="Normal"/>
    <w:next w:val="Normal"/>
    <w:link w:val="Heading1Char"/>
    <w:uiPriority w:val="9"/>
    <w:qFormat/>
    <w:pPr>
      <w:keepNext/>
      <w:keepLines/>
      <w:spacing w:after="480"/>
      <w:ind w:firstLine="0"/>
      <w:jc w:val="center"/>
      <w:outlineLvl w:val="0"/>
    </w:pPr>
    <w:rPr>
      <w:rFonts w:eastAsiaTheme="majorEastAsia" w:cstheme="majorBidi"/>
      <w:b/>
      <w:bCs/>
      <w:sz w:val="28"/>
      <w:szCs w:val="28"/>
    </w:rPr>
  </w:style>
  <w:style w:type="paragraph" w:styleId="Heading2">
    <w:name w:val="heading 2"/>
    <w:aliases w:val="Judul Subbab"/>
    <w:basedOn w:val="Normal"/>
    <w:next w:val="Normal"/>
    <w:link w:val="Heading2Char"/>
    <w:uiPriority w:val="9"/>
    <w:unhideWhenUsed/>
    <w:qFormat/>
    <w:pPr>
      <w:keepNext/>
      <w:keepLines/>
      <w:spacing w:after="240"/>
      <w:ind w:firstLine="0"/>
      <w:jc w:val="center"/>
      <w:outlineLvl w:val="1"/>
    </w:pPr>
    <w:rPr>
      <w:rFonts w:eastAsiaTheme="majorEastAsia" w:cstheme="majorBidi"/>
      <w:b/>
      <w:bCs/>
      <w:szCs w:val="26"/>
    </w:rPr>
  </w:style>
  <w:style w:type="paragraph" w:styleId="Heading3">
    <w:name w:val="heading 3"/>
    <w:aliases w:val="Judul Subsubbab"/>
    <w:basedOn w:val="Normal"/>
    <w:next w:val="Normal"/>
    <w:link w:val="Heading3Char"/>
    <w:uiPriority w:val="9"/>
    <w:unhideWhenUsed/>
    <w:qFormat/>
    <w:pPr>
      <w:keepNext/>
      <w:keepLines/>
      <w:ind w:firstLine="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Bab Char"/>
    <w:basedOn w:val="DefaultParagraphFont"/>
    <w:link w:val="Heading1"/>
    <w:uiPriority w:val="9"/>
    <w:rPr>
      <w:rFonts w:ascii="Times New Roman" w:eastAsiaTheme="majorEastAsia" w:hAnsi="Times New Roman" w:cstheme="majorBidi"/>
      <w:b/>
      <w:bCs/>
      <w:sz w:val="28"/>
      <w:szCs w:val="28"/>
      <w:lang w:eastAsia="ja-JP"/>
    </w:rPr>
  </w:style>
  <w:style w:type="character" w:customStyle="1" w:styleId="Heading2Char">
    <w:name w:val="Heading 2 Char"/>
    <w:aliases w:val="Judul Subbab Char"/>
    <w:basedOn w:val="DefaultParagraphFont"/>
    <w:link w:val="Heading2"/>
    <w:uiPriority w:val="9"/>
    <w:rPr>
      <w:rFonts w:ascii="Times New Roman" w:eastAsiaTheme="majorEastAsia" w:hAnsi="Times New Roman" w:cstheme="majorBidi"/>
      <w:b/>
      <w:bCs/>
      <w:sz w:val="24"/>
      <w:szCs w:val="26"/>
      <w:lang w:eastAsia="ja-JP"/>
    </w:rPr>
  </w:style>
  <w:style w:type="character" w:customStyle="1" w:styleId="Heading3Char">
    <w:name w:val="Heading 3 Char"/>
    <w:aliases w:val="Judul Subsubbab Char"/>
    <w:basedOn w:val="DefaultParagraphFont"/>
    <w:link w:val="Heading3"/>
    <w:uiPriority w:val="9"/>
    <w:rPr>
      <w:rFonts w:ascii="Times New Roman" w:eastAsiaTheme="majorEastAsia" w:hAnsi="Times New Roman" w:cstheme="majorBidi"/>
      <w:b/>
      <w:bCs/>
      <w:sz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lang w:eastAsia="ja-JP"/>
    </w:rPr>
  </w:style>
  <w:style w:type="paragraph" w:styleId="Caption">
    <w:name w:val="caption"/>
    <w:aliases w:val="Judul Tabel,Gambar,dan Lampiran"/>
    <w:basedOn w:val="Normal"/>
    <w:next w:val="Normal"/>
    <w:uiPriority w:val="35"/>
    <w:unhideWhenUsed/>
    <w:qFormat/>
    <w:pPr>
      <w:spacing w:before="60" w:after="200"/>
      <w:ind w:left="567" w:hanging="567"/>
      <w:jc w:val="left"/>
    </w:pPr>
    <w:rPr>
      <w:bCs/>
      <w:szCs w:val="18"/>
    </w:rPr>
  </w:style>
  <w:style w:type="paragraph" w:styleId="NoSpacing">
    <w:name w:val="No Spacing"/>
    <w:uiPriority w:val="1"/>
    <w:qFormat/>
    <w:pPr>
      <w:spacing w:after="0" w:line="240" w:lineRule="auto"/>
      <w:ind w:firstLine="567"/>
      <w:jc w:val="both"/>
    </w:pPr>
    <w:rPr>
      <w:rFonts w:ascii="Times New Roman" w:eastAsiaTheme="minorEastAsia" w:hAnsi="Times New Roman"/>
      <w:sz w:val="24"/>
      <w:lang w:eastAsia="ja-JP"/>
    </w:rPr>
  </w:style>
  <w:style w:type="paragraph" w:styleId="Header">
    <w:name w:val="header"/>
    <w:basedOn w:val="Normal"/>
    <w:link w:val="HeaderChar"/>
    <w:uiPriority w:val="99"/>
    <w:unhideWhenUsed/>
    <w:pPr>
      <w:tabs>
        <w:tab w:val="center" w:pos="4419"/>
        <w:tab w:val="right" w:pos="8838"/>
      </w:tabs>
    </w:pPr>
  </w:style>
  <w:style w:type="character" w:customStyle="1" w:styleId="HeaderChar">
    <w:name w:val="Header Char"/>
    <w:basedOn w:val="DefaultParagraphFont"/>
    <w:link w:val="Header"/>
    <w:uiPriority w:val="99"/>
    <w:rPr>
      <w:rFonts w:ascii="Times New Roman" w:eastAsiaTheme="minorEastAsia" w:hAnsi="Times New Roman"/>
      <w:sz w:val="24"/>
      <w:lang w:eastAsia="ja-JP"/>
    </w:rPr>
  </w:style>
  <w:style w:type="paragraph" w:styleId="Footer">
    <w:name w:val="footer"/>
    <w:basedOn w:val="Normal"/>
    <w:link w:val="FooterChar"/>
    <w:uiPriority w:val="99"/>
    <w:unhideWhenUsed/>
    <w:pPr>
      <w:tabs>
        <w:tab w:val="center" w:pos="4419"/>
        <w:tab w:val="right" w:pos="8838"/>
      </w:tabs>
    </w:pPr>
  </w:style>
  <w:style w:type="character" w:customStyle="1" w:styleId="FooterChar">
    <w:name w:val="Footer Char"/>
    <w:basedOn w:val="DefaultParagraphFont"/>
    <w:link w:val="Footer"/>
    <w:uiPriority w:val="99"/>
    <w:rPr>
      <w:rFonts w:ascii="Times New Roman" w:eastAsiaTheme="minorEastAsia" w:hAnsi="Times New Roman"/>
      <w:sz w:val="24"/>
      <w:lang w:eastAsia="ja-JP"/>
    </w:rPr>
  </w:style>
  <w:style w:type="paragraph" w:styleId="TOCHeading">
    <w:name w:val="TOC Heading"/>
    <w:basedOn w:val="Heading1"/>
    <w:next w:val="Normal"/>
    <w:uiPriority w:val="39"/>
    <w:unhideWhenUsed/>
    <w:qFormat/>
    <w:pPr>
      <w:spacing w:before="480" w:line="276" w:lineRule="auto"/>
      <w:jc w:val="left"/>
      <w:outlineLvl w:val="9"/>
    </w:pPr>
    <w:rPr>
      <w:rFonts w:asciiTheme="majorHAnsi" w:hAnsiTheme="majorHAnsi"/>
      <w:color w:val="365F91" w:themeColor="accent1" w:themeShade="BF"/>
      <w:lang w:eastAsia="en-US"/>
    </w:rPr>
  </w:style>
  <w:style w:type="paragraph" w:styleId="TOC2">
    <w:name w:val="toc 2"/>
    <w:basedOn w:val="Normal"/>
    <w:next w:val="Normal"/>
    <w:autoRedefine/>
    <w:uiPriority w:val="39"/>
    <w:unhideWhenUsed/>
    <w:pPr>
      <w:spacing w:after="100" w:line="276" w:lineRule="auto"/>
      <w:ind w:left="220" w:firstLine="0"/>
      <w:jc w:val="left"/>
    </w:pPr>
    <w:rPr>
      <w:lang w:eastAsia="en-US"/>
    </w:rPr>
  </w:style>
  <w:style w:type="paragraph" w:styleId="TOC1">
    <w:name w:val="toc 1"/>
    <w:basedOn w:val="Normal"/>
    <w:next w:val="Normal"/>
    <w:autoRedefine/>
    <w:uiPriority w:val="39"/>
    <w:unhideWhenUsed/>
    <w:pPr>
      <w:spacing w:after="100" w:line="276" w:lineRule="auto"/>
      <w:ind w:firstLine="0"/>
      <w:jc w:val="left"/>
    </w:pPr>
    <w:rPr>
      <w:lang w:eastAsia="en-US"/>
    </w:rPr>
  </w:style>
  <w:style w:type="paragraph" w:styleId="TOC3">
    <w:name w:val="toc 3"/>
    <w:basedOn w:val="Normal"/>
    <w:next w:val="Normal"/>
    <w:autoRedefine/>
    <w:uiPriority w:val="39"/>
    <w:unhideWhenUsed/>
    <w:qFormat/>
    <w:pPr>
      <w:spacing w:after="100" w:line="276" w:lineRule="auto"/>
      <w:ind w:left="440" w:firstLine="0"/>
      <w:jc w:val="left"/>
    </w:pPr>
    <w:rPr>
      <w:lang w:eastAsia="en-US"/>
    </w:rPr>
  </w:style>
  <w:style w:type="character" w:styleId="Hyperlink">
    <w:name w:val="Hyperlink"/>
    <w:basedOn w:val="DefaultParagraphFont"/>
    <w:uiPriority w:val="99"/>
    <w:unhideWhenUsed/>
    <w:rPr>
      <w:color w:val="0000FF" w:themeColor="hyperlink"/>
      <w:u w:val="single"/>
    </w:rPr>
  </w:style>
  <w:style w:type="paragraph" w:customStyle="1" w:styleId="Paragraf">
    <w:name w:val="Paragraf"/>
    <w:basedOn w:val="Normal"/>
    <w:link w:val="ParagrafChar"/>
    <w:qFormat/>
    <w:rPr>
      <w:rFonts w:eastAsia="MS Mincho" w:cs="Arial"/>
      <w:lang w:val="id-ID" w:eastAsia="en-US"/>
    </w:rPr>
  </w:style>
  <w:style w:type="character" w:customStyle="1" w:styleId="ParagrafChar">
    <w:name w:val="Paragraf Char"/>
    <w:link w:val="Paragraf"/>
    <w:rPr>
      <w:rFonts w:ascii="Times New Roman" w:eastAsia="MS Mincho" w:hAnsi="Times New Roman" w:cs="Arial"/>
      <w:sz w:val="24"/>
      <w:lang w:val="id-ID"/>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next w:val="Normal"/>
    <w:link w:val="TitleChar"/>
    <w:uiPriority w:val="10"/>
    <w:pPr>
      <w:ind w:firstLine="0"/>
      <w:contextualSpacing/>
      <w:jc w:val="center"/>
    </w:pPr>
    <w:rPr>
      <w:rFonts w:eastAsia="MS Gothic" w:cs="Times New Roman"/>
      <w:b/>
      <w:caps/>
      <w:spacing w:val="5"/>
      <w:kern w:val="28"/>
      <w:sz w:val="32"/>
      <w:szCs w:val="52"/>
      <w:lang w:eastAsia="en-US"/>
    </w:rPr>
  </w:style>
  <w:style w:type="character" w:customStyle="1" w:styleId="TitleChar">
    <w:name w:val="Title Char"/>
    <w:basedOn w:val="DefaultParagraphFont"/>
    <w:link w:val="Title"/>
    <w:uiPriority w:val="10"/>
    <w:rPr>
      <w:rFonts w:ascii="Times New Roman" w:eastAsia="MS Gothic" w:hAnsi="Times New Roman" w:cs="Times New Roman"/>
      <w:b/>
      <w:caps/>
      <w:spacing w:val="5"/>
      <w:kern w:val="28"/>
      <w:sz w:val="32"/>
      <w:szCs w:val="52"/>
    </w:rPr>
  </w:style>
  <w:style w:type="character" w:customStyle="1" w:styleId="DocumentMapChar">
    <w:name w:val="Document Map Char"/>
    <w:basedOn w:val="DefaultParagraphFont"/>
    <w:link w:val="DocumentMap"/>
    <w:uiPriority w:val="99"/>
    <w:semiHidden/>
    <w:rPr>
      <w:rFonts w:ascii="Tahoma" w:eastAsia="MS Mincho" w:hAnsi="Tahoma" w:cs="Tahoma"/>
      <w:sz w:val="16"/>
      <w:szCs w:val="16"/>
    </w:rPr>
  </w:style>
  <w:style w:type="paragraph" w:styleId="DocumentMap">
    <w:name w:val="Document Map"/>
    <w:basedOn w:val="Normal"/>
    <w:link w:val="DocumentMapChar"/>
    <w:uiPriority w:val="99"/>
    <w:semiHidden/>
    <w:unhideWhenUsed/>
    <w:pPr>
      <w:ind w:firstLine="0"/>
    </w:pPr>
    <w:rPr>
      <w:rFonts w:ascii="Tahoma" w:eastAsia="MS Mincho" w:hAnsi="Tahoma" w:cs="Tahoma"/>
      <w:sz w:val="16"/>
      <w:szCs w:val="16"/>
      <w:lang w:eastAsia="en-US"/>
    </w:rPr>
  </w:style>
  <w:style w:type="character" w:customStyle="1" w:styleId="BodyTextIndentChar">
    <w:name w:val="Body Text Indent Char"/>
    <w:basedOn w:val="DefaultParagraphFont"/>
    <w:link w:val="BodyTextIndent"/>
    <w:uiPriority w:val="99"/>
    <w:semiHidden/>
    <w:rPr>
      <w:rFonts w:ascii="Times New Roman" w:eastAsia="MS Mincho" w:hAnsi="Times New Roman" w:cs="Arial"/>
      <w:sz w:val="24"/>
    </w:rPr>
  </w:style>
  <w:style w:type="paragraph" w:styleId="BodyTextIndent">
    <w:name w:val="Body Text Indent"/>
    <w:basedOn w:val="Normal"/>
    <w:link w:val="BodyTextIndentChar"/>
    <w:uiPriority w:val="99"/>
    <w:semiHidden/>
    <w:unhideWhenUsed/>
    <w:pPr>
      <w:spacing w:after="120"/>
      <w:ind w:left="360" w:firstLine="0"/>
    </w:pPr>
    <w:rPr>
      <w:rFonts w:eastAsia="MS Mincho" w:cs="Arial"/>
      <w:lang w:eastAsia="en-US"/>
    </w:rPr>
  </w:style>
  <w:style w:type="paragraph" w:styleId="TableofFigures">
    <w:name w:val="table of figures"/>
    <w:basedOn w:val="Normal"/>
    <w:next w:val="Normal"/>
    <w:link w:val="TableofFiguresChar"/>
    <w:uiPriority w:val="99"/>
    <w:unhideWhenUsed/>
    <w:pPr>
      <w:ind w:left="644" w:right="567" w:hanging="360"/>
    </w:pPr>
  </w:style>
  <w:style w:type="character" w:customStyle="1" w:styleId="TableofFiguresChar">
    <w:name w:val="Table of Figures Char"/>
    <w:basedOn w:val="DefaultParagraphFont"/>
    <w:link w:val="TableofFigures"/>
    <w:uiPriority w:val="99"/>
    <w:rPr>
      <w:rFonts w:ascii="Times New Roman" w:eastAsiaTheme="minorEastAsia" w:hAnsi="Times New Roman"/>
      <w:sz w:val="24"/>
      <w:lang w:eastAsia="ja-JP"/>
    </w:rPr>
  </w:style>
  <w:style w:type="paragraph" w:styleId="ListParagraph">
    <w:name w:val="List Paragraph"/>
    <w:basedOn w:val="Normal"/>
    <w:uiPriority w:val="34"/>
    <w:qFormat/>
    <w:pPr>
      <w:ind w:left="720"/>
      <w:contextualSpacing/>
    </w:pPr>
  </w:style>
  <w:style w:type="paragraph" w:customStyle="1" w:styleId="DaftarPustaka">
    <w:name w:val="Daftar Pustaka"/>
    <w:basedOn w:val="Normal"/>
    <w:link w:val="DaftarPustakaChar"/>
    <w:qFormat/>
    <w:pPr>
      <w:ind w:left="284" w:hanging="284"/>
    </w:pPr>
    <w:rPr>
      <w:rFonts w:cs="Times New Roman"/>
      <w:szCs w:val="24"/>
    </w:rPr>
  </w:style>
  <w:style w:type="character" w:customStyle="1" w:styleId="DaftarPustakaChar">
    <w:name w:val="Daftar Pustaka Char"/>
    <w:basedOn w:val="DefaultParagraphFont"/>
    <w:link w:val="DaftarPustaka"/>
    <w:rPr>
      <w:rFonts w:ascii="Times New Roman" w:eastAsiaTheme="minorEastAsia" w:hAnsi="Times New Roman" w:cs="Times New Roman"/>
      <w:sz w:val="24"/>
      <w:szCs w:val="24"/>
      <w:lang w:eastAsia="ja-JP"/>
    </w:rPr>
  </w:style>
  <w:style w:type="paragraph" w:customStyle="1" w:styleId="DaftarIlustrasi">
    <w:name w:val="Daftar Ilustrasi"/>
    <w:basedOn w:val="TableofFigures"/>
    <w:link w:val="DaftarIlustrasiChar"/>
    <w:qFormat/>
    <w:pPr>
      <w:numPr>
        <w:numId w:val="1"/>
      </w:numPr>
      <w:tabs>
        <w:tab w:val="right" w:pos="7928"/>
      </w:tabs>
      <w:ind w:left="437" w:hanging="153"/>
    </w:pPr>
  </w:style>
  <w:style w:type="character" w:customStyle="1" w:styleId="DaftarIlustrasiChar">
    <w:name w:val="Daftar Ilustrasi Char"/>
    <w:basedOn w:val="TableofFiguresChar"/>
    <w:link w:val="DaftarIlustrasi"/>
    <w:rPr>
      <w:rFonts w:ascii="Times New Roman" w:eastAsiaTheme="minorEastAsia" w:hAnsi="Times New Roman"/>
      <w:sz w:val="24"/>
      <w:lang w:eastAsia="ja-JP"/>
    </w:rPr>
  </w:style>
  <w:style w:type="paragraph" w:customStyle="1" w:styleId="Equation">
    <w:name w:val="Equation"/>
    <w:basedOn w:val="Normal"/>
    <w:link w:val="EquationChar"/>
    <w:rPr>
      <w:rFonts w:ascii="Cambria Math" w:cs="Times New Roman"/>
    </w:rPr>
  </w:style>
  <w:style w:type="character" w:customStyle="1" w:styleId="EquationChar">
    <w:name w:val="Equation Char"/>
    <w:basedOn w:val="DefaultParagraphFont"/>
    <w:link w:val="Equation"/>
    <w:rPr>
      <w:rFonts w:ascii="Cambria Math" w:eastAsiaTheme="minorEastAsia" w:hAnsi="Times New Roman" w:cs="Times New Roman"/>
      <w:sz w:val="24"/>
      <w:lang w:eastAsia="ja-JP"/>
    </w:rPr>
  </w:style>
  <w:style w:type="paragraph" w:customStyle="1" w:styleId="JudulDaftarIlustrasi">
    <w:name w:val="Judul Daftar Ilustrasi"/>
    <w:basedOn w:val="Heading1"/>
    <w:link w:val="JudulDaftarIlustrasiChar"/>
    <w:qFormat/>
    <w:pPr>
      <w:spacing w:after="240"/>
    </w:pPr>
  </w:style>
  <w:style w:type="character" w:customStyle="1" w:styleId="JudulDaftarIlustrasiChar">
    <w:name w:val="Judul Daftar Ilustrasi Char"/>
    <w:basedOn w:val="Heading1Char"/>
    <w:link w:val="JudulDaftarIlustrasi"/>
    <w:rPr>
      <w:rFonts w:ascii="Times New Roman" w:eastAsiaTheme="majorEastAsia" w:hAnsi="Times New Roman" w:cstheme="majorBidi"/>
      <w:b/>
      <w:bCs/>
      <w:sz w:val="28"/>
      <w:szCs w:val="28"/>
      <w:lang w:eastAsia="ja-JP"/>
    </w:rPr>
  </w:style>
  <w:style w:type="table" w:styleId="TableGrid">
    <w:name w:val="Table Grid"/>
    <w:basedOn w:val="TableNormal"/>
    <w:uiPriority w:val="39"/>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horttext">
    <w:name w:val="short_text"/>
    <w:basedOn w:val="DefaultParagraphFont"/>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spacing w:before="100" w:beforeAutospacing="1" w:after="100" w:afterAutospacing="1"/>
      <w:ind w:firstLine="0"/>
      <w:jc w:val="left"/>
    </w:pPr>
    <w:rPr>
      <w:rFonts w:cs="Times New Roman"/>
      <w:szCs w:val="24"/>
      <w:lang w:eastAsia="en-US"/>
    </w:rPr>
  </w:style>
  <w:style w:type="character" w:customStyle="1" w:styleId="st">
    <w:name w:val="st"/>
    <w:basedOn w:val="DefaultParagraphFont"/>
  </w:style>
  <w:style w:type="character" w:customStyle="1" w:styleId="article-headermeta-info-label">
    <w:name w:val="article-header__meta-info-label"/>
    <w:basedOn w:val="DefaultParagraphFont"/>
  </w:style>
  <w:style w:type="character" w:customStyle="1" w:styleId="article-headermeta-info-data">
    <w:name w:val="article-header__meta-info-data"/>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heme="minorEastAsia" w:hAnsi="Times New Roman"/>
      <w:b/>
      <w:bCs/>
      <w:sz w:val="20"/>
      <w:szCs w:val="20"/>
      <w:lang w:eastAsia="ja-JP"/>
    </w:rPr>
  </w:style>
  <w:style w:type="paragraph" w:styleId="BodyTextIndent3">
    <w:name w:val="Body Text Indent 3"/>
    <w:basedOn w:val="Normal"/>
    <w:link w:val="BodyTextIndent3Char"/>
    <w:unhideWhenUsed/>
    <w:pPr>
      <w:spacing w:after="120"/>
      <w:ind w:left="360" w:firstLine="0"/>
      <w:jc w:val="left"/>
    </w:pPr>
    <w:rPr>
      <w:rFonts w:eastAsia="Times New Roman" w:cs="Times New Roman"/>
      <w:sz w:val="16"/>
      <w:szCs w:val="16"/>
      <w:lang w:val="en-GB"/>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355">
      <w:bodyDiv w:val="1"/>
      <w:marLeft w:val="0"/>
      <w:marRight w:val="0"/>
      <w:marTop w:val="0"/>
      <w:marBottom w:val="0"/>
      <w:divBdr>
        <w:top w:val="none" w:sz="0" w:space="0" w:color="auto"/>
        <w:left w:val="none" w:sz="0" w:space="0" w:color="auto"/>
        <w:bottom w:val="none" w:sz="0" w:space="0" w:color="auto"/>
        <w:right w:val="none" w:sz="0" w:space="0" w:color="auto"/>
      </w:divBdr>
    </w:div>
    <w:div w:id="739522376">
      <w:bodyDiv w:val="1"/>
      <w:marLeft w:val="0"/>
      <w:marRight w:val="0"/>
      <w:marTop w:val="0"/>
      <w:marBottom w:val="0"/>
      <w:divBdr>
        <w:top w:val="none" w:sz="0" w:space="0" w:color="auto"/>
        <w:left w:val="none" w:sz="0" w:space="0" w:color="auto"/>
        <w:bottom w:val="none" w:sz="0" w:space="0" w:color="auto"/>
        <w:right w:val="none" w:sz="0" w:space="0" w:color="auto"/>
      </w:divBdr>
    </w:div>
    <w:div w:id="8371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iwi\Desktop\Dokumentasi%20Penelitian\Uji%20Ambang%20Preferen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wi\Desktop\Desktop\Dokumentasi%20Penelitian\Uji%20Ambang%20Preferen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wi\Desktop\Dokumentasi%20Penelitian\Uji%20Ambang%20Preferensi.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piwi\Desktop\Dokumentasi%20Penelitian\R-Index%20MSG.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6708088249112"/>
          <c:y val="5.1400554097404488E-2"/>
          <c:w val="0.59168361897781874"/>
          <c:h val="0.77011956838728512"/>
        </c:manualLayout>
      </c:layout>
      <c:scatterChart>
        <c:scatterStyle val="smoothMarker"/>
        <c:varyColors val="0"/>
        <c:ser>
          <c:idx val="2"/>
          <c:order val="2"/>
          <c:tx>
            <c:v>Skala Preferensi</c:v>
          </c:tx>
          <c:marker>
            <c:symbol val="none"/>
          </c:marker>
          <c:xVal>
            <c:numRef>
              <c:f>'Data Final'!$B$14:$B$19</c:f>
              <c:numCache>
                <c:formatCode>0.00%</c:formatCode>
                <c:ptCount val="6"/>
                <c:pt idx="0" formatCode="0%">
                  <c:v>0</c:v>
                </c:pt>
                <c:pt idx="1">
                  <c:v>2.0000000000000001E-4</c:v>
                </c:pt>
                <c:pt idx="2">
                  <c:v>4.0000000000000002E-4</c:v>
                </c:pt>
                <c:pt idx="3">
                  <c:v>8.0000000000000004E-4</c:v>
                </c:pt>
                <c:pt idx="4">
                  <c:v>1.6000000000000001E-3</c:v>
                </c:pt>
                <c:pt idx="5">
                  <c:v>3.2000000000000002E-3</c:v>
                </c:pt>
              </c:numCache>
            </c:numRef>
          </c:xVal>
          <c:yVal>
            <c:numRef>
              <c:f>'Data Final'!$E$14:$E$19</c:f>
              <c:numCache>
                <c:formatCode>General</c:formatCode>
                <c:ptCount val="6"/>
                <c:pt idx="0">
                  <c:v>5</c:v>
                </c:pt>
                <c:pt idx="1">
                  <c:v>5</c:v>
                </c:pt>
                <c:pt idx="2">
                  <c:v>5</c:v>
                </c:pt>
                <c:pt idx="3">
                  <c:v>5</c:v>
                </c:pt>
                <c:pt idx="4">
                  <c:v>5</c:v>
                </c:pt>
                <c:pt idx="5">
                  <c:v>5</c:v>
                </c:pt>
              </c:numCache>
            </c:numRef>
          </c:yVal>
          <c:smooth val="1"/>
        </c:ser>
        <c:dLbls>
          <c:showLegendKey val="0"/>
          <c:showVal val="0"/>
          <c:showCatName val="0"/>
          <c:showSerName val="0"/>
          <c:showPercent val="0"/>
          <c:showBubbleSize val="0"/>
        </c:dLbls>
        <c:axId val="72134016"/>
        <c:axId val="174783488"/>
      </c:scatterChart>
      <c:scatterChart>
        <c:scatterStyle val="lineMarker"/>
        <c:varyColors val="0"/>
        <c:ser>
          <c:idx val="0"/>
          <c:order val="0"/>
          <c:tx>
            <c:v>Garam 0.30 g/100 mL</c:v>
          </c:tx>
          <c:spPr>
            <a:ln>
              <a:solidFill>
                <a:schemeClr val="tx1"/>
              </a:solidFill>
            </a:ln>
          </c:spPr>
          <c:marker>
            <c:symbol val="diamond"/>
            <c:size val="5"/>
          </c:marker>
          <c:errBars>
            <c:errDir val="y"/>
            <c:errBarType val="both"/>
            <c:errValType val="stdErr"/>
            <c:noEndCap val="0"/>
          </c:errBars>
          <c:xVal>
            <c:numRef>
              <c:f>'Data Final'!$B$14:$B$19</c:f>
              <c:numCache>
                <c:formatCode>0.00%</c:formatCode>
                <c:ptCount val="6"/>
                <c:pt idx="0" formatCode="0%">
                  <c:v>0</c:v>
                </c:pt>
                <c:pt idx="1">
                  <c:v>2.0000000000000001E-4</c:v>
                </c:pt>
                <c:pt idx="2">
                  <c:v>4.0000000000000002E-4</c:v>
                </c:pt>
                <c:pt idx="3">
                  <c:v>8.0000000000000004E-4</c:v>
                </c:pt>
                <c:pt idx="4">
                  <c:v>1.6000000000000001E-3</c:v>
                </c:pt>
                <c:pt idx="5">
                  <c:v>3.2000000000000002E-3</c:v>
                </c:pt>
              </c:numCache>
            </c:numRef>
          </c:xVal>
          <c:yVal>
            <c:numRef>
              <c:f>'Data Final'!$C$14:$C$19</c:f>
              <c:numCache>
                <c:formatCode>0.00</c:formatCode>
                <c:ptCount val="6"/>
                <c:pt idx="0">
                  <c:v>3.8133333333333335</c:v>
                </c:pt>
                <c:pt idx="1">
                  <c:v>4.3066666666666666</c:v>
                </c:pt>
                <c:pt idx="2">
                  <c:v>4.4133333333333331</c:v>
                </c:pt>
                <c:pt idx="3">
                  <c:v>4.7866666666666671</c:v>
                </c:pt>
                <c:pt idx="4">
                  <c:v>5</c:v>
                </c:pt>
                <c:pt idx="5">
                  <c:v>4.9466666666666663</c:v>
                </c:pt>
              </c:numCache>
            </c:numRef>
          </c:yVal>
          <c:smooth val="0"/>
        </c:ser>
        <c:ser>
          <c:idx val="1"/>
          <c:order val="1"/>
          <c:tx>
            <c:v>Garam 0.42 g/100 mL</c:v>
          </c:tx>
          <c:marker>
            <c:symbol val="square"/>
            <c:size val="5"/>
          </c:marker>
          <c:dPt>
            <c:idx val="1"/>
            <c:bubble3D val="0"/>
            <c:spPr>
              <a:ln>
                <a:solidFill>
                  <a:schemeClr val="tx1"/>
                </a:solidFill>
                <a:prstDash val="dash"/>
              </a:ln>
            </c:spPr>
          </c:dPt>
          <c:dPt>
            <c:idx val="2"/>
            <c:bubble3D val="0"/>
            <c:spPr>
              <a:ln>
                <a:solidFill>
                  <a:schemeClr val="tx1"/>
                </a:solidFill>
                <a:prstDash val="dash"/>
              </a:ln>
            </c:spPr>
          </c:dPt>
          <c:dPt>
            <c:idx val="3"/>
            <c:bubble3D val="0"/>
            <c:spPr>
              <a:ln>
                <a:solidFill>
                  <a:schemeClr val="tx1"/>
                </a:solidFill>
                <a:prstDash val="sysDash"/>
              </a:ln>
            </c:spPr>
          </c:dPt>
          <c:dPt>
            <c:idx val="4"/>
            <c:bubble3D val="0"/>
            <c:spPr>
              <a:ln>
                <a:solidFill>
                  <a:schemeClr val="tx1"/>
                </a:solidFill>
                <a:prstDash val="dash"/>
              </a:ln>
            </c:spPr>
          </c:dPt>
          <c:dPt>
            <c:idx val="5"/>
            <c:bubble3D val="0"/>
            <c:spPr>
              <a:ln>
                <a:solidFill>
                  <a:schemeClr val="tx1"/>
                </a:solidFill>
                <a:prstDash val="dash"/>
              </a:ln>
            </c:spPr>
          </c:dPt>
          <c:errBars>
            <c:errDir val="y"/>
            <c:errBarType val="both"/>
            <c:errValType val="stdErr"/>
            <c:noEndCap val="0"/>
          </c:errBars>
          <c:xVal>
            <c:numRef>
              <c:f>'Data Final'!$B$14:$B$19</c:f>
              <c:numCache>
                <c:formatCode>0.00%</c:formatCode>
                <c:ptCount val="6"/>
                <c:pt idx="0" formatCode="0%">
                  <c:v>0</c:v>
                </c:pt>
                <c:pt idx="1">
                  <c:v>2.0000000000000001E-4</c:v>
                </c:pt>
                <c:pt idx="2">
                  <c:v>4.0000000000000002E-4</c:v>
                </c:pt>
                <c:pt idx="3">
                  <c:v>8.0000000000000004E-4</c:v>
                </c:pt>
                <c:pt idx="4">
                  <c:v>1.6000000000000001E-3</c:v>
                </c:pt>
                <c:pt idx="5">
                  <c:v>3.2000000000000002E-3</c:v>
                </c:pt>
              </c:numCache>
            </c:numRef>
          </c:xVal>
          <c:yVal>
            <c:numRef>
              <c:f>'Data Final'!$D$14:$D$19</c:f>
              <c:numCache>
                <c:formatCode>0.00</c:formatCode>
                <c:ptCount val="6"/>
                <c:pt idx="0">
                  <c:v>4.28</c:v>
                </c:pt>
                <c:pt idx="1">
                  <c:v>4.5866666666666669</c:v>
                </c:pt>
                <c:pt idx="2">
                  <c:v>4.9333333333333336</c:v>
                </c:pt>
                <c:pt idx="3">
                  <c:v>5.1733333333333329</c:v>
                </c:pt>
                <c:pt idx="4">
                  <c:v>5.32</c:v>
                </c:pt>
                <c:pt idx="5">
                  <c:v>5.2666666666666666</c:v>
                </c:pt>
              </c:numCache>
            </c:numRef>
          </c:yVal>
          <c:smooth val="0"/>
        </c:ser>
        <c:dLbls>
          <c:showLegendKey val="0"/>
          <c:showVal val="0"/>
          <c:showCatName val="0"/>
          <c:showSerName val="0"/>
          <c:showPercent val="0"/>
          <c:showBubbleSize val="0"/>
        </c:dLbls>
        <c:axId val="72134016"/>
        <c:axId val="174783488"/>
      </c:scatterChart>
      <c:valAx>
        <c:axId val="72134016"/>
        <c:scaling>
          <c:orientation val="minMax"/>
          <c:max val="3.5000000000000009E-3"/>
          <c:min val="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Konsentrasi</a:t>
                </a:r>
                <a:r>
                  <a:rPr lang="en-US" baseline="0">
                    <a:latin typeface="Times New Roman" panose="02020603050405020304" pitchFamily="18" charset="0"/>
                    <a:cs typeface="Times New Roman" panose="02020603050405020304" pitchFamily="18" charset="0"/>
                  </a:rPr>
                  <a:t> Umami (g/100 mL)</a:t>
                </a:r>
                <a:endParaRPr lang="en-US">
                  <a:latin typeface="Times New Roman" panose="02020603050405020304" pitchFamily="18" charset="0"/>
                  <a:cs typeface="Times New Roman" panose="02020603050405020304" pitchFamily="18" charset="0"/>
                </a:endParaRPr>
              </a:p>
            </c:rich>
          </c:tx>
          <c:overlay val="0"/>
        </c:title>
        <c:numFmt formatCode="0.00%" sourceLinked="0"/>
        <c:majorTickMark val="in"/>
        <c:minorTickMark val="none"/>
        <c:tickLblPos val="nextTo"/>
        <c:crossAx val="174783488"/>
        <c:crosses val="autoZero"/>
        <c:crossBetween val="midCat"/>
        <c:majorUnit val="5.0000000000000012E-4"/>
      </c:valAx>
      <c:valAx>
        <c:axId val="174783488"/>
        <c:scaling>
          <c:orientation val="minMax"/>
          <c:max val="6"/>
          <c:min val="3"/>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Skala</a:t>
                </a:r>
                <a:r>
                  <a:rPr lang="en-US" baseline="0">
                    <a:latin typeface="Times New Roman" panose="02020603050405020304" pitchFamily="18" charset="0"/>
                    <a:cs typeface="Times New Roman" panose="02020603050405020304" pitchFamily="18" charset="0"/>
                  </a:rPr>
                  <a:t> Kesukaan</a:t>
                </a:r>
                <a:endParaRPr lang="en-US">
                  <a:latin typeface="Times New Roman" panose="02020603050405020304" pitchFamily="18" charset="0"/>
                  <a:cs typeface="Times New Roman" panose="02020603050405020304" pitchFamily="18" charset="0"/>
                </a:endParaRPr>
              </a:p>
            </c:rich>
          </c:tx>
          <c:overlay val="0"/>
        </c:title>
        <c:numFmt formatCode="#,##0.0" sourceLinked="0"/>
        <c:majorTickMark val="out"/>
        <c:minorTickMark val="none"/>
        <c:tickLblPos val="nextTo"/>
        <c:crossAx val="72134016"/>
        <c:crosses val="autoZero"/>
        <c:crossBetween val="midCat"/>
        <c:majorUnit val="0.2"/>
      </c:valAx>
    </c:plotArea>
    <c:legend>
      <c:legendPos val="r"/>
      <c:layout>
        <c:manualLayout>
          <c:xMode val="edge"/>
          <c:yMode val="edge"/>
          <c:x val="0.71036545737570389"/>
          <c:y val="0.28497083697871101"/>
          <c:w val="0.28687866341421397"/>
          <c:h val="0.33746536891221934"/>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520778652668414E-2"/>
          <c:y val="5.1400554097404488E-2"/>
          <c:w val="0.62152099737532807"/>
          <c:h val="0.73444808982210552"/>
        </c:manualLayout>
      </c:layout>
      <c:scatterChart>
        <c:scatterStyle val="lineMarker"/>
        <c:varyColors val="0"/>
        <c:ser>
          <c:idx val="0"/>
          <c:order val="0"/>
          <c:tx>
            <c:v>Garam 0.30 g/100 mL</c:v>
          </c:tx>
          <c:spPr>
            <a:ln w="28575">
              <a:noFill/>
            </a:ln>
          </c:spPr>
          <c:trendline>
            <c:trendlineType val="linear"/>
            <c:dispRSqr val="0"/>
            <c:dispEq val="0"/>
          </c:trendline>
          <c:trendline>
            <c:trendlineType val="linear"/>
            <c:dispRSqr val="0"/>
            <c:dispEq val="0"/>
          </c:trendline>
          <c:trendline>
            <c:trendlineType val="linear"/>
            <c:dispRSqr val="1"/>
            <c:dispEq val="1"/>
            <c:trendlineLbl>
              <c:layout>
                <c:manualLayout>
                  <c:x val="6.9787182852143484E-2"/>
                  <c:y val="0.32881160688247302"/>
                </c:manualLayout>
              </c:layout>
              <c:numFmt formatCode="General" sourceLinked="0"/>
              <c:txPr>
                <a:bodyPr/>
                <a:lstStyle/>
                <a:p>
                  <a:pPr>
                    <a:defRPr>
                      <a:latin typeface="+mn-lt"/>
                      <a:cs typeface="Times New Roman" panose="02020603050405020304" pitchFamily="18" charset="0"/>
                    </a:defRPr>
                  </a:pPr>
                  <a:endParaRPr lang="en-US"/>
                </a:p>
              </c:txPr>
            </c:trendlineLbl>
          </c:trendline>
          <c:xVal>
            <c:numRef>
              <c:f>'Data Final'!$C$43:$C$47</c:f>
              <c:numCache>
                <c:formatCode>0.0000</c:formatCode>
                <c:ptCount val="5"/>
                <c:pt idx="0">
                  <c:v>-1.6989700043360187</c:v>
                </c:pt>
                <c:pt idx="1">
                  <c:v>-1.3979400086720375</c:v>
                </c:pt>
                <c:pt idx="2">
                  <c:v>-1.0969100130080565</c:v>
                </c:pt>
                <c:pt idx="3">
                  <c:v>-0.79588001734407521</c:v>
                </c:pt>
                <c:pt idx="4">
                  <c:v>-0.49485002168009401</c:v>
                </c:pt>
              </c:numCache>
            </c:numRef>
          </c:xVal>
          <c:yVal>
            <c:numRef>
              <c:f>'Data Final'!$D$43:$D$47</c:f>
              <c:numCache>
                <c:formatCode>0.0000</c:formatCode>
                <c:ptCount val="5"/>
                <c:pt idx="0">
                  <c:v>0.60950000000000004</c:v>
                </c:pt>
                <c:pt idx="1">
                  <c:v>0.61219999999999997</c:v>
                </c:pt>
                <c:pt idx="2">
                  <c:v>0.65810000000000002</c:v>
                </c:pt>
                <c:pt idx="3">
                  <c:v>0.67279999999999995</c:v>
                </c:pt>
                <c:pt idx="4">
                  <c:v>0.66339999999999999</c:v>
                </c:pt>
              </c:numCache>
            </c:numRef>
          </c:yVal>
          <c:smooth val="0"/>
        </c:ser>
        <c:ser>
          <c:idx val="1"/>
          <c:order val="1"/>
          <c:tx>
            <c:v>Garam 0.42 g/100 mL</c:v>
          </c:tx>
          <c:spPr>
            <a:ln w="28575">
              <a:noFill/>
            </a:ln>
          </c:spPr>
          <c:trendline>
            <c:trendlineType val="linear"/>
            <c:dispRSqr val="0"/>
            <c:dispEq val="0"/>
          </c:trendline>
          <c:trendline>
            <c:trendlineType val="linear"/>
            <c:dispRSqr val="1"/>
            <c:dispEq val="1"/>
            <c:trendlineLbl>
              <c:layout>
                <c:manualLayout>
                  <c:x val="-0.14636657917760279"/>
                  <c:y val="-1.4363517060367453E-2"/>
                </c:manualLayout>
              </c:layout>
              <c:numFmt formatCode="General" sourceLinked="0"/>
              <c:txPr>
                <a:bodyPr/>
                <a:lstStyle/>
                <a:p>
                  <a:pPr>
                    <a:defRPr>
                      <a:latin typeface="+mn-lt"/>
                      <a:cs typeface="Times New Roman" panose="02020603050405020304" pitchFamily="18" charset="0"/>
                    </a:defRPr>
                  </a:pPr>
                  <a:endParaRPr lang="en-US"/>
                </a:p>
              </c:txPr>
            </c:trendlineLbl>
          </c:trendline>
          <c:xVal>
            <c:numRef>
              <c:f>'Data Final'!$C$43:$C$47</c:f>
              <c:numCache>
                <c:formatCode>0.0000</c:formatCode>
                <c:ptCount val="5"/>
                <c:pt idx="0">
                  <c:v>-1.6989700043360187</c:v>
                </c:pt>
                <c:pt idx="1">
                  <c:v>-1.3979400086720375</c:v>
                </c:pt>
                <c:pt idx="2">
                  <c:v>-1.0969100130080565</c:v>
                </c:pt>
                <c:pt idx="3">
                  <c:v>-0.79588001734407521</c:v>
                </c:pt>
                <c:pt idx="4">
                  <c:v>-0.49485002168009401</c:v>
                </c:pt>
              </c:numCache>
            </c:numRef>
          </c:xVal>
          <c:yVal>
            <c:numRef>
              <c:f>'Data Final'!$E$43:$E$47</c:f>
              <c:numCache>
                <c:formatCode>0.0000</c:formatCode>
                <c:ptCount val="5"/>
                <c:pt idx="0">
                  <c:v>0.64070000000000005</c:v>
                </c:pt>
                <c:pt idx="1">
                  <c:v>0.6714</c:v>
                </c:pt>
                <c:pt idx="2">
                  <c:v>0.69240000000000002</c:v>
                </c:pt>
                <c:pt idx="3">
                  <c:v>0.70540000000000003</c:v>
                </c:pt>
                <c:pt idx="4">
                  <c:v>0.69310000000000005</c:v>
                </c:pt>
              </c:numCache>
            </c:numRef>
          </c:yVal>
          <c:smooth val="0"/>
        </c:ser>
        <c:dLbls>
          <c:showLegendKey val="0"/>
          <c:showVal val="0"/>
          <c:showCatName val="0"/>
          <c:showSerName val="0"/>
          <c:showPercent val="0"/>
          <c:showBubbleSize val="0"/>
        </c:dLbls>
        <c:axId val="196994176"/>
        <c:axId val="196996096"/>
      </c:scatterChart>
      <c:valAx>
        <c:axId val="196994176"/>
        <c:scaling>
          <c:orientation val="minMax"/>
        </c:scaling>
        <c:delete val="0"/>
        <c:axPos val="b"/>
        <c:title>
          <c:tx>
            <c:rich>
              <a:bodyPr/>
              <a:lstStyle/>
              <a:p>
                <a:pPr>
                  <a:defRPr>
                    <a:latin typeface="+mn-lt"/>
                    <a:cs typeface="Times New Roman" panose="02020603050405020304" pitchFamily="18" charset="0"/>
                  </a:defRPr>
                </a:pPr>
                <a:r>
                  <a:rPr lang="en-US">
                    <a:latin typeface="+mn-lt"/>
                    <a:cs typeface="Times New Roman" panose="02020603050405020304" pitchFamily="18" charset="0"/>
                  </a:rPr>
                  <a:t>Log C (Konsentrasi Sampel)</a:t>
                </a:r>
              </a:p>
            </c:rich>
          </c:tx>
          <c:overlay val="0"/>
        </c:title>
        <c:numFmt formatCode="0.0000" sourceLinked="1"/>
        <c:majorTickMark val="out"/>
        <c:minorTickMark val="none"/>
        <c:tickLblPos val="nextTo"/>
        <c:crossAx val="196996096"/>
        <c:crosses val="autoZero"/>
        <c:crossBetween val="midCat"/>
      </c:valAx>
      <c:valAx>
        <c:axId val="196996096"/>
        <c:scaling>
          <c:orientation val="minMax"/>
        </c:scaling>
        <c:delete val="0"/>
        <c:axPos val="l"/>
        <c:title>
          <c:tx>
            <c:rich>
              <a:bodyPr/>
              <a:lstStyle/>
              <a:p>
                <a:pPr>
                  <a:defRPr b="1">
                    <a:latin typeface="+mn-lt"/>
                    <a:cs typeface="Times New Roman" panose="02020603050405020304" pitchFamily="18" charset="0"/>
                  </a:defRPr>
                </a:pPr>
                <a:r>
                  <a:rPr lang="en-US" b="1">
                    <a:latin typeface="+mn-lt"/>
                    <a:cs typeface="Times New Roman" panose="02020603050405020304" pitchFamily="18" charset="0"/>
                  </a:rPr>
                  <a:t>Log S (Rata-rata Respon</a:t>
                </a:r>
                <a:r>
                  <a:rPr lang="en-US" b="1" baseline="0">
                    <a:latin typeface="+mn-lt"/>
                    <a:cs typeface="Times New Roman" panose="02020603050405020304" pitchFamily="18" charset="0"/>
                  </a:rPr>
                  <a:t> Panelis)</a:t>
                </a:r>
                <a:endParaRPr lang="en-US" b="1">
                  <a:latin typeface="+mn-lt"/>
                  <a:cs typeface="Times New Roman" panose="02020603050405020304" pitchFamily="18" charset="0"/>
                </a:endParaRPr>
              </a:p>
            </c:rich>
          </c:tx>
          <c:overlay val="0"/>
        </c:title>
        <c:numFmt formatCode="0.0000" sourceLinked="1"/>
        <c:majorTickMark val="out"/>
        <c:minorTickMark val="none"/>
        <c:tickLblPos val="nextTo"/>
        <c:crossAx val="196994176"/>
        <c:crosses val="autoZero"/>
        <c:crossBetween val="midCat"/>
      </c:valAx>
    </c:plotArea>
    <c:legend>
      <c:legendPos val="r"/>
      <c:legendEntry>
        <c:idx val="2"/>
        <c:delete val="1"/>
      </c:legendEntry>
      <c:legendEntry>
        <c:idx val="3"/>
        <c:delete val="1"/>
      </c:legendEntry>
      <c:legendEntry>
        <c:idx val="4"/>
        <c:delete val="1"/>
      </c:legendEntry>
      <c:legendEntry>
        <c:idx val="5"/>
        <c:delete val="1"/>
      </c:legendEntry>
      <c:legendEntry>
        <c:idx val="6"/>
        <c:delete val="1"/>
      </c:legendEntry>
      <c:layout>
        <c:manualLayout>
          <c:xMode val="edge"/>
          <c:yMode val="edge"/>
          <c:x val="0.7059792213473316"/>
          <c:y val="0.3890547535724701"/>
          <c:w val="0.29124300087489063"/>
          <c:h val="0.15707567804024497"/>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907123139779937E-2"/>
          <c:y val="6.1845586480834283E-2"/>
          <c:w val="0.63213861865864718"/>
          <c:h val="0.78468040759610924"/>
        </c:manualLayout>
      </c:layout>
      <c:scatterChart>
        <c:scatterStyle val="lineMarker"/>
        <c:varyColors val="0"/>
        <c:ser>
          <c:idx val="0"/>
          <c:order val="0"/>
          <c:tx>
            <c:v>Garam 0.30 g/100 mL</c:v>
          </c:tx>
          <c:spPr>
            <a:ln w="28575">
              <a:noFill/>
            </a:ln>
          </c:spPr>
          <c:trendline>
            <c:trendlineType val="linear"/>
            <c:dispRSqr val="1"/>
            <c:dispEq val="1"/>
            <c:trendlineLbl>
              <c:layout>
                <c:manualLayout>
                  <c:x val="8.5142239340212159E-2"/>
                  <c:y val="0.24492662585458638"/>
                </c:manualLayout>
              </c:layout>
              <c:numFmt formatCode="General" sourceLinked="0"/>
            </c:trendlineLbl>
          </c:trendline>
          <c:xVal>
            <c:numRef>
              <c:f>'Data Final'!$C$35:$C$39</c:f>
              <c:numCache>
                <c:formatCode>0.0000</c:formatCode>
                <c:ptCount val="5"/>
                <c:pt idx="0">
                  <c:v>-1.6989700043360187</c:v>
                </c:pt>
                <c:pt idx="1">
                  <c:v>-1.3979400086720375</c:v>
                </c:pt>
                <c:pt idx="2">
                  <c:v>-1.0969100130080565</c:v>
                </c:pt>
                <c:pt idx="3">
                  <c:v>-0.79588001734407521</c:v>
                </c:pt>
                <c:pt idx="4">
                  <c:v>-0.49485002168009401</c:v>
                </c:pt>
              </c:numCache>
            </c:numRef>
          </c:xVal>
          <c:yVal>
            <c:numRef>
              <c:f>'Data Final'!$D$35:$D$39</c:f>
              <c:numCache>
                <c:formatCode>General</c:formatCode>
                <c:ptCount val="5"/>
                <c:pt idx="0">
                  <c:v>4.3099999999999996</c:v>
                </c:pt>
                <c:pt idx="1">
                  <c:v>4.41</c:v>
                </c:pt>
                <c:pt idx="2">
                  <c:v>4.79</c:v>
                </c:pt>
                <c:pt idx="3">
                  <c:v>5</c:v>
                </c:pt>
                <c:pt idx="4">
                  <c:v>4.95</c:v>
                </c:pt>
              </c:numCache>
            </c:numRef>
          </c:yVal>
          <c:smooth val="0"/>
        </c:ser>
        <c:ser>
          <c:idx val="1"/>
          <c:order val="1"/>
          <c:tx>
            <c:v>Garam 0.42 g/100 mL</c:v>
          </c:tx>
          <c:spPr>
            <a:ln w="28575">
              <a:noFill/>
            </a:ln>
          </c:spPr>
          <c:trendline>
            <c:trendlineType val="linear"/>
            <c:dispRSqr val="1"/>
            <c:dispEq val="1"/>
            <c:trendlineLbl>
              <c:layout>
                <c:manualLayout>
                  <c:x val="-0.17352437301325502"/>
                  <c:y val="-5.7313577903546798E-4"/>
                </c:manualLayout>
              </c:layout>
              <c:numFmt formatCode="General" sourceLinked="0"/>
            </c:trendlineLbl>
          </c:trendline>
          <c:xVal>
            <c:numRef>
              <c:f>'Data Final'!$C$35:$C$39</c:f>
              <c:numCache>
                <c:formatCode>0.0000</c:formatCode>
                <c:ptCount val="5"/>
                <c:pt idx="0">
                  <c:v>-1.6989700043360187</c:v>
                </c:pt>
                <c:pt idx="1">
                  <c:v>-1.3979400086720375</c:v>
                </c:pt>
                <c:pt idx="2">
                  <c:v>-1.0969100130080565</c:v>
                </c:pt>
                <c:pt idx="3">
                  <c:v>-0.79588001734407521</c:v>
                </c:pt>
                <c:pt idx="4">
                  <c:v>-0.49485002168009401</c:v>
                </c:pt>
              </c:numCache>
            </c:numRef>
          </c:xVal>
          <c:yVal>
            <c:numRef>
              <c:f>'Data Final'!$E$35:$E$39</c:f>
              <c:numCache>
                <c:formatCode>General</c:formatCode>
                <c:ptCount val="5"/>
                <c:pt idx="0">
                  <c:v>4.59</c:v>
                </c:pt>
                <c:pt idx="1">
                  <c:v>4.93</c:v>
                </c:pt>
                <c:pt idx="2">
                  <c:v>5.17</c:v>
                </c:pt>
                <c:pt idx="3">
                  <c:v>5.32</c:v>
                </c:pt>
                <c:pt idx="4">
                  <c:v>5.27</c:v>
                </c:pt>
              </c:numCache>
            </c:numRef>
          </c:yVal>
          <c:smooth val="0"/>
        </c:ser>
        <c:dLbls>
          <c:showLegendKey val="0"/>
          <c:showVal val="0"/>
          <c:showCatName val="0"/>
          <c:showSerName val="0"/>
          <c:showPercent val="0"/>
          <c:showBubbleSize val="0"/>
        </c:dLbls>
        <c:axId val="197021056"/>
        <c:axId val="197027328"/>
      </c:scatterChart>
      <c:valAx>
        <c:axId val="197021056"/>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Log C (Konsentrasi Sampel)</a:t>
                </a:r>
              </a:p>
            </c:rich>
          </c:tx>
          <c:overlay val="0"/>
        </c:title>
        <c:numFmt formatCode="0.0000" sourceLinked="1"/>
        <c:majorTickMark val="out"/>
        <c:minorTickMark val="none"/>
        <c:tickLblPos val="nextTo"/>
        <c:crossAx val="197027328"/>
        <c:crosses val="autoZero"/>
        <c:crossBetween val="midCat"/>
      </c:valAx>
      <c:valAx>
        <c:axId val="197027328"/>
        <c:scaling>
          <c:orientation val="minMax"/>
          <c:min val="4"/>
        </c:scaling>
        <c:delete val="0"/>
        <c:axPos val="l"/>
        <c:title>
          <c:tx>
            <c:rich>
              <a:bodyPr/>
              <a:lstStyle/>
              <a:p>
                <a:pPr>
                  <a:defRPr/>
                </a:pPr>
                <a:r>
                  <a:rPr lang="en-US"/>
                  <a:t>S (Rata-rata Respon Panelis)</a:t>
                </a:r>
              </a:p>
            </c:rich>
          </c:tx>
          <c:overlay val="0"/>
        </c:title>
        <c:numFmt formatCode="General" sourceLinked="1"/>
        <c:majorTickMark val="out"/>
        <c:minorTickMark val="none"/>
        <c:tickLblPos val="nextTo"/>
        <c:crossAx val="197021056"/>
        <c:crosses val="autoZero"/>
        <c:crossBetween val="midCat"/>
      </c:valAx>
    </c:plotArea>
    <c:legend>
      <c:legendPos val="r"/>
      <c:legendEntry>
        <c:idx val="2"/>
        <c:delete val="1"/>
      </c:legendEntry>
      <c:legendEntry>
        <c:idx val="3"/>
        <c:delete val="1"/>
      </c:legendEntry>
      <c:layout>
        <c:manualLayout>
          <c:xMode val="edge"/>
          <c:yMode val="edge"/>
          <c:x val="0.71682145930994445"/>
          <c:y val="0.33741188340315398"/>
          <c:w val="0.28087574020143496"/>
          <c:h val="0.25808982032501465"/>
        </c:manualLayout>
      </c:layout>
      <c:overlay val="0"/>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65507436570428"/>
          <c:y val="0.12122885680956547"/>
          <c:w val="0.83534492563429574"/>
          <c:h val="0.72112459900845727"/>
        </c:manualLayout>
      </c:layout>
      <c:barChart>
        <c:barDir val="col"/>
        <c:grouping val="clustered"/>
        <c:varyColors val="0"/>
        <c:ser>
          <c:idx val="1"/>
          <c:order val="0"/>
          <c:tx>
            <c:v>Garam 0.30 g/100 mL</c:v>
          </c:tx>
          <c:spPr>
            <a:pattFill prst="ltDnDiag">
              <a:fgClr>
                <a:sysClr val="windowText" lastClr="000000"/>
              </a:fgClr>
              <a:bgClr>
                <a:sysClr val="window" lastClr="FFFFFF"/>
              </a:bgClr>
            </a:patt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6"/>
              <c:pt idx="0">
                <c:v>0.01</c:v>
              </c:pt>
              <c:pt idx="1">
                <c:v>0.02</c:v>
              </c:pt>
              <c:pt idx="2">
                <c:v>0.04</c:v>
              </c:pt>
              <c:pt idx="3">
                <c:v>0.08</c:v>
              </c:pt>
              <c:pt idx="4">
                <c:v>0.16</c:v>
              </c:pt>
              <c:pt idx="5">
                <c:v>0.32</c:v>
              </c:pt>
            </c:numLit>
          </c:cat>
          <c:val>
            <c:numRef>
              <c:f>'Hasil Akhir'!$I$3:$I$8</c:f>
              <c:numCache>
                <c:formatCode>#,##0.00</c:formatCode>
                <c:ptCount val="6"/>
                <c:pt idx="0">
                  <c:v>61</c:v>
                </c:pt>
                <c:pt idx="1">
                  <c:v>59.28</c:v>
                </c:pt>
                <c:pt idx="2">
                  <c:v>61.44</c:v>
                </c:pt>
                <c:pt idx="3">
                  <c:v>74.89</c:v>
                </c:pt>
                <c:pt idx="4">
                  <c:v>82.56</c:v>
                </c:pt>
                <c:pt idx="5">
                  <c:v>82.94</c:v>
                </c:pt>
              </c:numCache>
            </c:numRef>
          </c:val>
        </c:ser>
        <c:ser>
          <c:idx val="2"/>
          <c:order val="1"/>
          <c:tx>
            <c:v>Garam 0.42 g/100 mL</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6"/>
              <c:pt idx="0">
                <c:v>0.01</c:v>
              </c:pt>
              <c:pt idx="1">
                <c:v>0.02</c:v>
              </c:pt>
              <c:pt idx="2">
                <c:v>0.04</c:v>
              </c:pt>
              <c:pt idx="3">
                <c:v>0.08</c:v>
              </c:pt>
              <c:pt idx="4">
                <c:v>0.16</c:v>
              </c:pt>
              <c:pt idx="5">
                <c:v>0.32</c:v>
              </c:pt>
            </c:numLit>
          </c:cat>
          <c:val>
            <c:numRef>
              <c:f>'Hasil Akhir'!$J$3:$J$8</c:f>
              <c:numCache>
                <c:formatCode>#,##0.00</c:formatCode>
                <c:ptCount val="6"/>
                <c:pt idx="0">
                  <c:v>63.89</c:v>
                </c:pt>
                <c:pt idx="1">
                  <c:v>73.83</c:v>
                </c:pt>
                <c:pt idx="2">
                  <c:v>76.72</c:v>
                </c:pt>
                <c:pt idx="3">
                  <c:v>77.42</c:v>
                </c:pt>
                <c:pt idx="4">
                  <c:v>83.56</c:v>
                </c:pt>
                <c:pt idx="5">
                  <c:v>86.83</c:v>
                </c:pt>
              </c:numCache>
            </c:numRef>
          </c:val>
        </c:ser>
        <c:dLbls>
          <c:showLegendKey val="0"/>
          <c:showVal val="1"/>
          <c:showCatName val="0"/>
          <c:showSerName val="0"/>
          <c:showPercent val="0"/>
          <c:showBubbleSize val="0"/>
        </c:dLbls>
        <c:gapWidth val="75"/>
        <c:axId val="197046272"/>
        <c:axId val="197048192"/>
      </c:barChart>
      <c:catAx>
        <c:axId val="197046272"/>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Konsentrasi MSG (g/100</a:t>
                </a:r>
                <a:r>
                  <a:rPr lang="en-US" baseline="0">
                    <a:latin typeface="Times New Roman" panose="02020603050405020304" pitchFamily="18" charset="0"/>
                    <a:cs typeface="Times New Roman" panose="02020603050405020304" pitchFamily="18" charset="0"/>
                  </a:rPr>
                  <a:t> mL</a:t>
                </a:r>
                <a:r>
                  <a:rPr lang="en-US">
                    <a:latin typeface="Times New Roman" panose="02020603050405020304" pitchFamily="18" charset="0"/>
                    <a:cs typeface="Times New Roman" panose="02020603050405020304" pitchFamily="18" charset="0"/>
                  </a:rPr>
                  <a:t>)</a:t>
                </a:r>
              </a:p>
            </c:rich>
          </c:tx>
          <c:layout>
            <c:manualLayout>
              <c:xMode val="edge"/>
              <c:yMode val="edge"/>
              <c:x val="0.4283344269466316"/>
              <c:y val="0.92034703995333922"/>
            </c:manualLayout>
          </c:layout>
          <c:overlay val="0"/>
        </c:title>
        <c:numFmt formatCode="General" sourceLinked="1"/>
        <c:majorTickMark val="none"/>
        <c:minorTickMark val="none"/>
        <c:tickLblPos val="nextTo"/>
        <c:crossAx val="197048192"/>
        <c:crosses val="autoZero"/>
        <c:auto val="0"/>
        <c:lblAlgn val="ctr"/>
        <c:lblOffset val="100"/>
        <c:noMultiLvlLbl val="0"/>
      </c:catAx>
      <c:valAx>
        <c:axId val="19704819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R-index (%)</a:t>
                </a:r>
              </a:p>
            </c:rich>
          </c:tx>
          <c:overlay val="0"/>
        </c:title>
        <c:numFmt formatCode="General" sourceLinked="0"/>
        <c:majorTickMark val="none"/>
        <c:minorTickMark val="none"/>
        <c:tickLblPos val="nextTo"/>
        <c:crossAx val="197046272"/>
        <c:crosses val="autoZero"/>
        <c:crossBetween val="between"/>
      </c:valAx>
    </c:plotArea>
    <c:legend>
      <c:legendPos val="b"/>
      <c:layout>
        <c:manualLayout>
          <c:xMode val="edge"/>
          <c:yMode val="edge"/>
          <c:x val="0.39938720583655857"/>
          <c:y val="4.5912438028579763E-2"/>
          <c:w val="0.3292857778370924"/>
          <c:h val="0.10223571011956839"/>
        </c:manualLayout>
      </c:layout>
      <c:overlay val="0"/>
    </c:legend>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0.39069</cdr:x>
      <cdr:y>0.30556</cdr:y>
    </cdr:from>
    <cdr:to>
      <cdr:x>0.391</cdr:x>
      <cdr:y>0.8325</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H="1">
          <a:off x="1819501" y="838200"/>
          <a:ext cx="1444" cy="144550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0.20453</cdr:x>
      <cdr:y>0.30556</cdr:y>
    </cdr:from>
    <cdr:to>
      <cdr:x>0.20484</cdr:x>
      <cdr:y>0.83251</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flipH="1">
          <a:off x="952500" y="838200"/>
          <a:ext cx="1444" cy="1445530"/>
        </a:xfrm>
        <a:prstGeom xmlns:a="http://schemas.openxmlformats.org/drawingml/2006/main" prst="straightConnector1">
          <a:avLst/>
        </a:prstGeom>
        <a:noFill xmlns:a="http://schemas.openxmlformats.org/drawingml/2006/main"/>
        <a:ln xmlns:a="http://schemas.openxmlformats.org/drawingml/2006/main" w="19050">
          <a:solidFill>
            <a:srgbClr val="000000"/>
          </a:solidFill>
          <a:prstDash val="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201D6-10F4-4C4A-BA49-D3CF5687E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4418</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piwi</dc:creator>
  <cp:lastModifiedBy>jurnal</cp:lastModifiedBy>
  <cp:revision>2</cp:revision>
  <cp:lastPrinted>2002-03-23T20:57:00Z</cp:lastPrinted>
  <dcterms:created xsi:type="dcterms:W3CDTF">2017-04-12T03:53:00Z</dcterms:created>
  <dcterms:modified xsi:type="dcterms:W3CDTF">2017-04-12T03:53:00Z</dcterms:modified>
</cp:coreProperties>
</file>