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B9" w:rsidRDefault="00BD00B9" w:rsidP="00BD00B9">
      <w:pPr>
        <w:jc w:val="center"/>
      </w:pPr>
      <w:r>
        <w:rPr>
          <w:noProof/>
        </w:rPr>
        <w:drawing>
          <wp:inline distT="0" distB="0" distL="0" distR="0" wp14:anchorId="6593A8CF" wp14:editId="6CBFF679">
            <wp:extent cx="5029200" cy="2114550"/>
            <wp:effectExtent l="0" t="0" r="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7878" w:rsidRPr="0078659C" w:rsidRDefault="0078659C" w:rsidP="00786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05584D" wp14:editId="728DD01D">
            <wp:extent cx="5248275" cy="1962150"/>
            <wp:effectExtent l="0" t="0" r="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659C" w:rsidRDefault="0078659C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59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trigliserida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620A70" w:rsidRDefault="00620A70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20A70" w:rsidRDefault="00620A70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8659C" w:rsidRDefault="00373952" w:rsidP="00373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3A4C34" wp14:editId="1BFA1BA2">
            <wp:extent cx="5105400" cy="1962150"/>
            <wp:effectExtent l="0" t="0" r="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00B9" w:rsidRDefault="00BD00B9" w:rsidP="00BD00B9">
      <w:pPr>
        <w:rPr>
          <w:rFonts w:ascii="Times New Roman" w:hAnsi="Times New Roman" w:cs="Times New Roman"/>
          <w:sz w:val="24"/>
          <w:szCs w:val="24"/>
        </w:rPr>
      </w:pPr>
    </w:p>
    <w:p w:rsidR="00BD00B9" w:rsidRDefault="00BD00B9" w:rsidP="00BD00B9">
      <w:pPr>
        <w:rPr>
          <w:rFonts w:ascii="Times New Roman" w:hAnsi="Times New Roman" w:cs="Times New Roman"/>
          <w:sz w:val="24"/>
          <w:szCs w:val="24"/>
        </w:rPr>
      </w:pPr>
    </w:p>
    <w:p w:rsidR="00BD00B9" w:rsidRDefault="00BD00B9" w:rsidP="00BD0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877398" wp14:editId="666A3B8C">
            <wp:extent cx="5305425" cy="197167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00B9" w:rsidRDefault="00BD00B9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Kadar LDL-k </w:t>
      </w:r>
      <w:proofErr w:type="spellStart"/>
      <w:proofErr w:type="gramStart"/>
      <w:r w:rsidR="0026036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260361"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proofErr w:type="gram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A4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BD00B9" w:rsidRDefault="005A459D" w:rsidP="00BD0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6885F7" wp14:editId="156CA9F3">
            <wp:extent cx="5219700" cy="2114550"/>
            <wp:effectExtent l="0" t="0" r="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459D" w:rsidRDefault="005A459D" w:rsidP="00BD0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9328AA" wp14:editId="6CBC5687">
            <wp:extent cx="5391150" cy="1905000"/>
            <wp:effectExtent l="0" t="0" r="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459D" w:rsidRDefault="005A459D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Kadar HDL-k</w:t>
      </w:r>
      <w:r w:rsidR="0026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36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26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2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5A459D" w:rsidRDefault="005A459D" w:rsidP="00BD0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59D" w:rsidRDefault="005A459D" w:rsidP="00BD0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59D" w:rsidRDefault="005A459D" w:rsidP="00BD0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FCC89E" wp14:editId="57F67ACF">
            <wp:extent cx="5476875" cy="2162175"/>
            <wp:effectExtent l="0" t="0" r="0" b="2857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459D" w:rsidRDefault="00927608" w:rsidP="00BD0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C57532" wp14:editId="61446B8E">
            <wp:extent cx="5143500" cy="253365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4B6" w:rsidRDefault="000154B6" w:rsidP="00620A7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A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Kadar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kolesterol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20A70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="00620A70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0154B6" w:rsidRPr="0078659C" w:rsidRDefault="000154B6" w:rsidP="00BD00B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54B6" w:rsidRPr="00786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48"/>
    <w:rsid w:val="0000499E"/>
    <w:rsid w:val="000154B6"/>
    <w:rsid w:val="00166B48"/>
    <w:rsid w:val="001E1CEE"/>
    <w:rsid w:val="00260361"/>
    <w:rsid w:val="00373952"/>
    <w:rsid w:val="005A459D"/>
    <w:rsid w:val="00620A70"/>
    <w:rsid w:val="006E0D93"/>
    <w:rsid w:val="0078659C"/>
    <w:rsid w:val="0089698B"/>
    <w:rsid w:val="00927608"/>
    <w:rsid w:val="0098505B"/>
    <w:rsid w:val="00BD00B9"/>
    <w:rsid w:val="00C1141D"/>
    <w:rsid w:val="00DF7878"/>
    <w:rsid w:val="00E977EA"/>
    <w:rsid w:val="00E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D:\JURNAL%20GIZI%20DAN%20PANG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03133699196692"/>
          <c:y val="0.1680791252444796"/>
          <c:w val="0.83286765290702303"/>
          <c:h val="0.610013487897346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TG!$B$17</c:f>
              <c:strCache>
                <c:ptCount val="1"/>
                <c:pt idx="0">
                  <c:v>sebelum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TG!$B$18:$B$27</c:f>
              <c:numCache>
                <c:formatCode>General</c:formatCode>
                <c:ptCount val="10"/>
                <c:pt idx="0">
                  <c:v>145</c:v>
                </c:pt>
                <c:pt idx="1">
                  <c:v>180</c:v>
                </c:pt>
                <c:pt idx="2">
                  <c:v>138</c:v>
                </c:pt>
                <c:pt idx="3">
                  <c:v>307</c:v>
                </c:pt>
                <c:pt idx="4">
                  <c:v>148</c:v>
                </c:pt>
                <c:pt idx="5">
                  <c:v>234</c:v>
                </c:pt>
                <c:pt idx="6">
                  <c:v>125</c:v>
                </c:pt>
                <c:pt idx="7">
                  <c:v>276</c:v>
                </c:pt>
                <c:pt idx="8">
                  <c:v>105</c:v>
                </c:pt>
                <c:pt idx="9">
                  <c:v>98</c:v>
                </c:pt>
              </c:numCache>
            </c:numRef>
          </c:val>
        </c:ser>
        <c:ser>
          <c:idx val="1"/>
          <c:order val="1"/>
          <c:tx>
            <c:strRef>
              <c:f>TG!$C$17</c:f>
              <c:strCache>
                <c:ptCount val="1"/>
                <c:pt idx="0">
                  <c:v>setelah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TG!$C$18:$C$27</c:f>
              <c:numCache>
                <c:formatCode>General</c:formatCode>
                <c:ptCount val="10"/>
                <c:pt idx="0">
                  <c:v>145</c:v>
                </c:pt>
                <c:pt idx="1">
                  <c:v>130</c:v>
                </c:pt>
                <c:pt idx="2">
                  <c:v>135</c:v>
                </c:pt>
                <c:pt idx="3">
                  <c:v>146</c:v>
                </c:pt>
                <c:pt idx="4">
                  <c:v>80</c:v>
                </c:pt>
                <c:pt idx="5">
                  <c:v>137</c:v>
                </c:pt>
                <c:pt idx="6">
                  <c:v>92</c:v>
                </c:pt>
                <c:pt idx="7">
                  <c:v>173</c:v>
                </c:pt>
                <c:pt idx="8">
                  <c:v>96</c:v>
                </c:pt>
                <c:pt idx="9">
                  <c:v>103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1670656"/>
        <c:axId val="121918208"/>
      </c:barChart>
      <c:catAx>
        <c:axId val="121670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1918208"/>
        <c:crosses val="autoZero"/>
        <c:auto val="1"/>
        <c:lblAlgn val="ctr"/>
        <c:lblOffset val="100"/>
        <c:noMultiLvlLbl val="0"/>
      </c:catAx>
      <c:valAx>
        <c:axId val="121918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1670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72369541875447374"/>
          <c:y val="2.7393919510061246E-2"/>
          <c:w val="0.27483118587449296"/>
          <c:h val="9.3090931201167418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09022011994418"/>
          <c:y val="0.15491144687995081"/>
          <c:w val="0.83539290543227551"/>
          <c:h val="0.64304651107800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TG!$B$3</c:f>
              <c:strCache>
                <c:ptCount val="1"/>
                <c:pt idx="0">
                  <c:v>sebelum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TG!$B$4:$B$13</c:f>
              <c:numCache>
                <c:formatCode>General</c:formatCode>
                <c:ptCount val="10"/>
                <c:pt idx="0">
                  <c:v>244</c:v>
                </c:pt>
                <c:pt idx="1">
                  <c:v>162</c:v>
                </c:pt>
                <c:pt idx="2">
                  <c:v>417</c:v>
                </c:pt>
                <c:pt idx="3">
                  <c:v>315</c:v>
                </c:pt>
                <c:pt idx="4">
                  <c:v>240</c:v>
                </c:pt>
                <c:pt idx="5">
                  <c:v>119</c:v>
                </c:pt>
                <c:pt idx="6">
                  <c:v>178</c:v>
                </c:pt>
                <c:pt idx="7">
                  <c:v>245</c:v>
                </c:pt>
                <c:pt idx="8">
                  <c:v>170</c:v>
                </c:pt>
                <c:pt idx="9">
                  <c:v>271</c:v>
                </c:pt>
              </c:numCache>
            </c:numRef>
          </c:val>
        </c:ser>
        <c:ser>
          <c:idx val="1"/>
          <c:order val="1"/>
          <c:tx>
            <c:strRef>
              <c:f>TG!$C$3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TG!$C$4:$C$13</c:f>
              <c:numCache>
                <c:formatCode>General</c:formatCode>
                <c:ptCount val="10"/>
                <c:pt idx="0">
                  <c:v>138</c:v>
                </c:pt>
                <c:pt idx="1">
                  <c:v>534</c:v>
                </c:pt>
                <c:pt idx="2">
                  <c:v>210</c:v>
                </c:pt>
                <c:pt idx="3">
                  <c:v>129</c:v>
                </c:pt>
                <c:pt idx="4">
                  <c:v>122</c:v>
                </c:pt>
                <c:pt idx="5">
                  <c:v>141</c:v>
                </c:pt>
                <c:pt idx="6">
                  <c:v>161</c:v>
                </c:pt>
                <c:pt idx="7">
                  <c:v>115</c:v>
                </c:pt>
                <c:pt idx="8">
                  <c:v>114</c:v>
                </c:pt>
                <c:pt idx="9">
                  <c:v>183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2467456"/>
        <c:axId val="169480576"/>
      </c:barChart>
      <c:catAx>
        <c:axId val="824674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9480576"/>
        <c:crosses val="autoZero"/>
        <c:auto val="1"/>
        <c:lblAlgn val="ctr"/>
        <c:lblOffset val="100"/>
        <c:noMultiLvlLbl val="0"/>
      </c:catAx>
      <c:valAx>
        <c:axId val="169480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24674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71791776027996501"/>
          <c:y val="6.4430956547098281E-2"/>
          <c:w val="0.26113417640976694"/>
          <c:h val="8.3717191601049873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51612018646924"/>
          <c:y val="3.7895310256029317E-2"/>
          <c:w val="0.86948377799330412"/>
          <c:h val="0.72112459900845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LDL!$B$16</c:f>
              <c:strCache>
                <c:ptCount val="1"/>
                <c:pt idx="0">
                  <c:v>sebelum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LDL!$B$17:$B$26</c:f>
              <c:numCache>
                <c:formatCode>General</c:formatCode>
                <c:ptCount val="10"/>
                <c:pt idx="0">
                  <c:v>76</c:v>
                </c:pt>
                <c:pt idx="1">
                  <c:v>72</c:v>
                </c:pt>
                <c:pt idx="2">
                  <c:v>149</c:v>
                </c:pt>
                <c:pt idx="3">
                  <c:v>150.80000000000001</c:v>
                </c:pt>
                <c:pt idx="4">
                  <c:v>203</c:v>
                </c:pt>
                <c:pt idx="5">
                  <c:v>203.6</c:v>
                </c:pt>
                <c:pt idx="6">
                  <c:v>97.6</c:v>
                </c:pt>
                <c:pt idx="7">
                  <c:v>174.4</c:v>
                </c:pt>
                <c:pt idx="8">
                  <c:v>115.8</c:v>
                </c:pt>
                <c:pt idx="9">
                  <c:v>95.4</c:v>
                </c:pt>
              </c:numCache>
            </c:numRef>
          </c:val>
        </c:ser>
        <c:ser>
          <c:idx val="1"/>
          <c:order val="1"/>
          <c:tx>
            <c:strRef>
              <c:f>LDL!$C$16</c:f>
              <c:strCache>
                <c:ptCount val="1"/>
                <c:pt idx="0">
                  <c:v>sesudah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LDL!$C$17:$C$26</c:f>
              <c:numCache>
                <c:formatCode>General</c:formatCode>
                <c:ptCount val="10"/>
                <c:pt idx="0">
                  <c:v>63</c:v>
                </c:pt>
                <c:pt idx="1">
                  <c:v>56</c:v>
                </c:pt>
                <c:pt idx="2">
                  <c:v>35</c:v>
                </c:pt>
                <c:pt idx="3">
                  <c:v>127.8</c:v>
                </c:pt>
                <c:pt idx="4">
                  <c:v>150</c:v>
                </c:pt>
                <c:pt idx="5">
                  <c:v>190.6</c:v>
                </c:pt>
                <c:pt idx="6">
                  <c:v>70.599999999999994</c:v>
                </c:pt>
                <c:pt idx="7">
                  <c:v>114.4</c:v>
                </c:pt>
                <c:pt idx="8">
                  <c:v>110.8</c:v>
                </c:pt>
                <c:pt idx="9">
                  <c:v>71.400000000000006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9486592"/>
        <c:axId val="169492480"/>
      </c:barChart>
      <c:catAx>
        <c:axId val="1694865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9492480"/>
        <c:crosses val="autoZero"/>
        <c:auto val="1"/>
        <c:lblAlgn val="ctr"/>
        <c:lblOffset val="100"/>
        <c:noMultiLvlLbl val="0"/>
      </c:catAx>
      <c:valAx>
        <c:axId val="169492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94865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70004286964129481"/>
          <c:y val="3.6653178769320505E-2"/>
          <c:w val="0.29995715045013943"/>
          <c:h val="8.6417746168825665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84951881014873"/>
          <c:y val="7.9178331875182265E-2"/>
          <c:w val="0.81115048118985122"/>
          <c:h val="0.651680154564012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LDL!$B$2</c:f>
              <c:strCache>
                <c:ptCount val="1"/>
                <c:pt idx="0">
                  <c:v>sebelum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LDL!$B$3:$B$12</c:f>
              <c:numCache>
                <c:formatCode>General</c:formatCode>
                <c:ptCount val="10"/>
                <c:pt idx="0">
                  <c:v>169</c:v>
                </c:pt>
                <c:pt idx="1">
                  <c:v>163.6</c:v>
                </c:pt>
                <c:pt idx="2">
                  <c:v>25.6</c:v>
                </c:pt>
                <c:pt idx="3">
                  <c:v>54</c:v>
                </c:pt>
                <c:pt idx="4">
                  <c:v>36</c:v>
                </c:pt>
                <c:pt idx="5">
                  <c:v>314.2</c:v>
                </c:pt>
                <c:pt idx="6">
                  <c:v>109.4</c:v>
                </c:pt>
                <c:pt idx="7">
                  <c:v>95</c:v>
                </c:pt>
                <c:pt idx="8">
                  <c:v>80</c:v>
                </c:pt>
                <c:pt idx="9">
                  <c:v>124.8</c:v>
                </c:pt>
              </c:numCache>
            </c:numRef>
          </c:val>
        </c:ser>
        <c:ser>
          <c:idx val="1"/>
          <c:order val="1"/>
          <c:tx>
            <c:strRef>
              <c:f>LDL!$C$2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LDL!$C$3:$C$12</c:f>
              <c:numCache>
                <c:formatCode>General</c:formatCode>
                <c:ptCount val="10"/>
                <c:pt idx="0">
                  <c:v>80.400000000000006</c:v>
                </c:pt>
                <c:pt idx="1">
                  <c:v>16.2</c:v>
                </c:pt>
                <c:pt idx="2">
                  <c:v>87</c:v>
                </c:pt>
                <c:pt idx="3">
                  <c:v>128.19999999999999</c:v>
                </c:pt>
                <c:pt idx="4">
                  <c:v>170.6</c:v>
                </c:pt>
                <c:pt idx="5">
                  <c:v>158.80000000000001</c:v>
                </c:pt>
                <c:pt idx="6">
                  <c:v>70.8</c:v>
                </c:pt>
                <c:pt idx="7">
                  <c:v>102</c:v>
                </c:pt>
                <c:pt idx="8">
                  <c:v>94.2</c:v>
                </c:pt>
                <c:pt idx="9">
                  <c:v>167.4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7694592"/>
        <c:axId val="177696128"/>
      </c:barChart>
      <c:catAx>
        <c:axId val="1776945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696128"/>
        <c:crosses val="autoZero"/>
        <c:auto val="1"/>
        <c:lblAlgn val="ctr"/>
        <c:lblOffset val="100"/>
        <c:noMultiLvlLbl val="0"/>
      </c:catAx>
      <c:valAx>
        <c:axId val="177696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6945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8415398075240597"/>
          <c:y val="2.7393919510061246E-2"/>
          <c:w val="0.28724759405074368"/>
          <c:h val="9.2025004508024283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98840769903763"/>
          <c:y val="0.13345506908912649"/>
          <c:w val="0.83078937007874021"/>
          <c:h val="0.61927274715660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HDL!$B$24</c:f>
              <c:strCache>
                <c:ptCount val="1"/>
                <c:pt idx="0">
                  <c:v>sebelum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HDL!$B$25:$B$34</c:f>
              <c:numCache>
                <c:formatCode>General</c:formatCode>
                <c:ptCount val="10"/>
                <c:pt idx="0">
                  <c:v>47</c:v>
                </c:pt>
                <c:pt idx="1">
                  <c:v>47</c:v>
                </c:pt>
                <c:pt idx="2">
                  <c:v>50</c:v>
                </c:pt>
                <c:pt idx="3">
                  <c:v>50</c:v>
                </c:pt>
                <c:pt idx="4">
                  <c:v>49</c:v>
                </c:pt>
                <c:pt idx="5">
                  <c:v>55</c:v>
                </c:pt>
                <c:pt idx="6">
                  <c:v>49</c:v>
                </c:pt>
                <c:pt idx="7">
                  <c:v>47</c:v>
                </c:pt>
                <c:pt idx="8">
                  <c:v>52</c:v>
                </c:pt>
                <c:pt idx="9">
                  <c:v>43</c:v>
                </c:pt>
              </c:numCache>
            </c:numRef>
          </c:val>
        </c:ser>
        <c:ser>
          <c:idx val="1"/>
          <c:order val="1"/>
          <c:tx>
            <c:strRef>
              <c:f>HDL!$C$24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HDL!$C$25:$C$34</c:f>
              <c:numCache>
                <c:formatCode>General</c:formatCode>
                <c:ptCount val="10"/>
                <c:pt idx="0">
                  <c:v>31</c:v>
                </c:pt>
                <c:pt idx="1">
                  <c:v>18</c:v>
                </c:pt>
                <c:pt idx="2">
                  <c:v>41</c:v>
                </c:pt>
                <c:pt idx="3">
                  <c:v>37</c:v>
                </c:pt>
                <c:pt idx="4">
                  <c:v>32</c:v>
                </c:pt>
                <c:pt idx="5">
                  <c:v>35</c:v>
                </c:pt>
                <c:pt idx="6">
                  <c:v>34</c:v>
                </c:pt>
                <c:pt idx="7">
                  <c:v>30</c:v>
                </c:pt>
                <c:pt idx="8">
                  <c:v>30</c:v>
                </c:pt>
                <c:pt idx="9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8910720"/>
        <c:axId val="178912256"/>
      </c:barChart>
      <c:catAx>
        <c:axId val="1789107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8912256"/>
        <c:crosses val="autoZero"/>
        <c:auto val="1"/>
        <c:lblAlgn val="ctr"/>
        <c:lblOffset val="100"/>
        <c:noMultiLvlLbl val="0"/>
      </c:catAx>
      <c:valAx>
        <c:axId val="17891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8910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70359842519685034"/>
          <c:y val="2.2764289880431617E-2"/>
          <c:w val="0.28724759405074368"/>
          <c:h val="9.3815374245534489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536490359199801"/>
          <c:y val="0.14862277631962673"/>
          <c:w val="0.83574617660424955"/>
          <c:h val="0.63779126567512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HDL!$B$2</c:f>
              <c:strCache>
                <c:ptCount val="1"/>
                <c:pt idx="0">
                  <c:v>sebelum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HDL!$B$3:$B$12</c:f>
              <c:numCache>
                <c:formatCode>General</c:formatCode>
                <c:ptCount val="10"/>
                <c:pt idx="0">
                  <c:v>36</c:v>
                </c:pt>
                <c:pt idx="1">
                  <c:v>46</c:v>
                </c:pt>
                <c:pt idx="2">
                  <c:v>48</c:v>
                </c:pt>
                <c:pt idx="3">
                  <c:v>49</c:v>
                </c:pt>
                <c:pt idx="4">
                  <c:v>39</c:v>
                </c:pt>
                <c:pt idx="5">
                  <c:v>52</c:v>
                </c:pt>
                <c:pt idx="6">
                  <c:v>32</c:v>
                </c:pt>
                <c:pt idx="7">
                  <c:v>36</c:v>
                </c:pt>
                <c:pt idx="8">
                  <c:v>40</c:v>
                </c:pt>
                <c:pt idx="9">
                  <c:v>38</c:v>
                </c:pt>
              </c:numCache>
            </c:numRef>
          </c:val>
        </c:ser>
        <c:ser>
          <c:idx val="1"/>
          <c:order val="1"/>
          <c:tx>
            <c:strRef>
              <c:f>HDL!$C$2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HDL!$C$3:$C$12</c:f>
              <c:numCache>
                <c:formatCode>General</c:formatCode>
                <c:ptCount val="10"/>
                <c:pt idx="0">
                  <c:v>37</c:v>
                </c:pt>
                <c:pt idx="1">
                  <c:v>29</c:v>
                </c:pt>
                <c:pt idx="2">
                  <c:v>35</c:v>
                </c:pt>
                <c:pt idx="3">
                  <c:v>39</c:v>
                </c:pt>
                <c:pt idx="4">
                  <c:v>37</c:v>
                </c:pt>
                <c:pt idx="5">
                  <c:v>52</c:v>
                </c:pt>
                <c:pt idx="6">
                  <c:v>55</c:v>
                </c:pt>
                <c:pt idx="7">
                  <c:v>38</c:v>
                </c:pt>
                <c:pt idx="8">
                  <c:v>24</c:v>
                </c:pt>
                <c:pt idx="9">
                  <c:v>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8877568"/>
        <c:axId val="178879104"/>
      </c:barChart>
      <c:catAx>
        <c:axId val="1788775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8879104"/>
        <c:crosses val="autoZero"/>
        <c:auto val="1"/>
        <c:lblAlgn val="ctr"/>
        <c:lblOffset val="100"/>
        <c:noMultiLvlLbl val="0"/>
      </c:catAx>
      <c:valAx>
        <c:axId val="178879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88775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9526509186351704"/>
          <c:y val="3.6653178769320505E-2"/>
          <c:w val="0.28724759405074368"/>
          <c:h val="8.3717191601049873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29349072007709"/>
          <c:y val="9.7696850393700782E-2"/>
          <c:w val="0.85328935487342161"/>
          <c:h val="0.72112459900845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kol!$C$17</c:f>
              <c:strCache>
                <c:ptCount val="1"/>
                <c:pt idx="0">
                  <c:v>sebelum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kol!$C$18:$C$27</c:f>
              <c:numCache>
                <c:formatCode>General</c:formatCode>
                <c:ptCount val="10"/>
                <c:pt idx="0">
                  <c:v>152</c:v>
                </c:pt>
                <c:pt idx="1">
                  <c:v>145</c:v>
                </c:pt>
                <c:pt idx="2">
                  <c:v>226</c:v>
                </c:pt>
                <c:pt idx="3">
                  <c:v>230</c:v>
                </c:pt>
                <c:pt idx="4">
                  <c:v>268</c:v>
                </c:pt>
                <c:pt idx="5">
                  <c:v>286</c:v>
                </c:pt>
                <c:pt idx="6">
                  <c:v>165</c:v>
                </c:pt>
                <c:pt idx="7">
                  <c:v>256</c:v>
                </c:pt>
                <c:pt idx="8">
                  <c:v>187</c:v>
                </c:pt>
                <c:pt idx="9">
                  <c:v>159</c:v>
                </c:pt>
              </c:numCache>
            </c:numRef>
          </c:val>
        </c:ser>
        <c:ser>
          <c:idx val="1"/>
          <c:order val="1"/>
          <c:tx>
            <c:strRef>
              <c:f>kol!$D$17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kol!$D$18:$D$27</c:f>
              <c:numCache>
                <c:formatCode>General</c:formatCode>
                <c:ptCount val="10"/>
                <c:pt idx="0">
                  <c:v>123</c:v>
                </c:pt>
                <c:pt idx="1">
                  <c:v>99</c:v>
                </c:pt>
                <c:pt idx="2">
                  <c:v>103</c:v>
                </c:pt>
                <c:pt idx="3">
                  <c:v>194</c:v>
                </c:pt>
                <c:pt idx="4">
                  <c:v>198</c:v>
                </c:pt>
                <c:pt idx="5">
                  <c:v>253</c:v>
                </c:pt>
                <c:pt idx="6">
                  <c:v>123</c:v>
                </c:pt>
                <c:pt idx="7">
                  <c:v>179</c:v>
                </c:pt>
                <c:pt idx="8">
                  <c:v>160</c:v>
                </c:pt>
                <c:pt idx="9">
                  <c:v>112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1212672"/>
        <c:axId val="181214208"/>
      </c:barChart>
      <c:catAx>
        <c:axId val="1812126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1214208"/>
        <c:crosses val="autoZero"/>
        <c:auto val="1"/>
        <c:lblAlgn val="ctr"/>
        <c:lblOffset val="100"/>
        <c:noMultiLvlLbl val="0"/>
      </c:catAx>
      <c:valAx>
        <c:axId val="181214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1212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7837107569121247"/>
          <c:y val="3.2023549139690875E-2"/>
          <c:w val="0.30560448391365591"/>
          <c:h val="8.3717191601049873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68108825106539"/>
          <c:y val="9.3067220764071146E-2"/>
          <c:w val="0.83776344086021504"/>
          <c:h val="0.651680154564012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kol!$C$3</c:f>
              <c:strCache>
                <c:ptCount val="1"/>
                <c:pt idx="0">
                  <c:v>sebelum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kol!$C$4:$C$13</c:f>
              <c:numCache>
                <c:formatCode>General</c:formatCode>
                <c:ptCount val="10"/>
                <c:pt idx="0">
                  <c:v>254</c:v>
                </c:pt>
                <c:pt idx="1">
                  <c:v>242</c:v>
                </c:pt>
                <c:pt idx="2">
                  <c:v>157</c:v>
                </c:pt>
                <c:pt idx="3">
                  <c:v>166</c:v>
                </c:pt>
                <c:pt idx="4">
                  <c:v>123</c:v>
                </c:pt>
                <c:pt idx="5">
                  <c:v>390</c:v>
                </c:pt>
                <c:pt idx="6">
                  <c:v>177</c:v>
                </c:pt>
                <c:pt idx="7">
                  <c:v>180</c:v>
                </c:pt>
                <c:pt idx="8">
                  <c:v>154</c:v>
                </c:pt>
                <c:pt idx="9">
                  <c:v>217</c:v>
                </c:pt>
              </c:numCache>
            </c:numRef>
          </c:val>
        </c:ser>
        <c:ser>
          <c:idx val="1"/>
          <c:order val="1"/>
          <c:tx>
            <c:strRef>
              <c:f>kol!$D$3</c:f>
              <c:strCache>
                <c:ptCount val="1"/>
                <c:pt idx="0">
                  <c:v>setelah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kol!$D$4:$D$13</c:f>
              <c:numCache>
                <c:formatCode>General</c:formatCode>
                <c:ptCount val="10"/>
                <c:pt idx="0">
                  <c:v>145</c:v>
                </c:pt>
                <c:pt idx="1">
                  <c:v>152</c:v>
                </c:pt>
                <c:pt idx="2">
                  <c:v>164</c:v>
                </c:pt>
                <c:pt idx="3">
                  <c:v>193</c:v>
                </c:pt>
                <c:pt idx="4">
                  <c:v>232</c:v>
                </c:pt>
                <c:pt idx="5">
                  <c:v>239</c:v>
                </c:pt>
                <c:pt idx="6">
                  <c:v>158</c:v>
                </c:pt>
                <c:pt idx="7">
                  <c:v>163</c:v>
                </c:pt>
                <c:pt idx="8">
                  <c:v>141</c:v>
                </c:pt>
                <c:pt idx="9">
                  <c:v>254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1351552"/>
        <c:axId val="181353088"/>
      </c:barChart>
      <c:catAx>
        <c:axId val="1813515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1353088"/>
        <c:crosses val="autoZero"/>
        <c:auto val="1"/>
        <c:lblAlgn val="ctr"/>
        <c:lblOffset val="100"/>
        <c:noMultiLvlLbl val="0"/>
      </c:catAx>
      <c:valAx>
        <c:axId val="181353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1351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9149825021872269"/>
          <c:y val="2.2764289880431617E-2"/>
          <c:w val="0.30429012502469449"/>
          <c:h val="8.6728601370871808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5.96516E-7</cdr:x>
      <cdr:y>0.06757</cdr:y>
    </cdr:from>
    <cdr:to>
      <cdr:x>0.04924</cdr:x>
      <cdr:y>0.82883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681041" y="823918"/>
          <a:ext cx="1609726" cy="247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Trigliserida (mg/dL)</a:t>
          </a:r>
        </a:p>
      </cdr:txBody>
    </cdr:sp>
  </cdr:relSizeAnchor>
  <cdr:relSizeAnchor xmlns:cdr="http://schemas.openxmlformats.org/drawingml/2006/chartDrawing">
    <cdr:from>
      <cdr:x>0.43245</cdr:x>
      <cdr:y>0.90625</cdr:y>
    </cdr:from>
    <cdr:to>
      <cdr:x>0.59406</cdr:x>
      <cdr:y>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74888" y="1916311"/>
          <a:ext cx="812769" cy="198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0.05114</cdr:x>
      <cdr:y>1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1004039" y="1185012"/>
          <a:ext cx="2276476" cy="2683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Trigliserida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(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mg/dL)</a:t>
          </a:r>
        </a:p>
      </cdr:txBody>
    </cdr:sp>
  </cdr:relSizeAnchor>
  <cdr:relSizeAnchor xmlns:cdr="http://schemas.openxmlformats.org/drawingml/2006/chartDrawing">
    <cdr:from>
      <cdr:x>0.43557</cdr:x>
      <cdr:y>0.89806</cdr:y>
    </cdr:from>
    <cdr:to>
      <cdr:x>0.61048</cdr:x>
      <cdr:y>0.99422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286000" y="1762125"/>
          <a:ext cx="917967" cy="1886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1.95871E-7</cdr:x>
      <cdr:y>0.06796</cdr:y>
    </cdr:from>
    <cdr:to>
      <cdr:x>0.05625</cdr:x>
      <cdr:y>0.77184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546970" y="680323"/>
          <a:ext cx="1381122" cy="287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LDL-k mg/dL</a:t>
          </a:r>
        </a:p>
      </cdr:txBody>
    </cdr:sp>
  </cdr:relSizeAnchor>
  <cdr:relSizeAnchor xmlns:cdr="http://schemas.openxmlformats.org/drawingml/2006/chartDrawing">
    <cdr:from>
      <cdr:x>0.42361</cdr:x>
      <cdr:y>0.86921</cdr:y>
    </cdr:from>
    <cdr:to>
      <cdr:x>0.60139</cdr:x>
      <cdr:y>0.9545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936750" y="2384425"/>
          <a:ext cx="812806" cy="233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0.00208</cdr:x>
      <cdr:y>0</cdr:y>
    </cdr:from>
    <cdr:to>
      <cdr:x>0.05833</cdr:x>
      <cdr:y>0.81321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641438" y="290523"/>
          <a:ext cx="1603376" cy="2984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LDL-k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mg/dL</a:t>
          </a:r>
        </a:p>
      </cdr:txBody>
    </cdr:sp>
  </cdr:relSizeAnchor>
  <cdr:relSizeAnchor xmlns:cdr="http://schemas.openxmlformats.org/drawingml/2006/chartDrawing">
    <cdr:from>
      <cdr:x>0.41944</cdr:x>
      <cdr:y>0.84491</cdr:y>
    </cdr:from>
    <cdr:to>
      <cdr:x>0.59722</cdr:x>
      <cdr:y>0.93866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917700" y="2317750"/>
          <a:ext cx="812806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0.41944</cdr:x>
      <cdr:y>0.89352</cdr:y>
    </cdr:from>
    <cdr:to>
      <cdr:x>0.59722</cdr:x>
      <cdr:y>0.97881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917700" y="2451100"/>
          <a:ext cx="812810" cy="233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  <cdr:relSizeAnchor xmlns:cdr="http://schemas.openxmlformats.org/drawingml/2006/chartDrawing">
    <cdr:from>
      <cdr:x>3.83164E-7</cdr:x>
      <cdr:y>0.13488</cdr:y>
    </cdr:from>
    <cdr:to>
      <cdr:x>0.04792</cdr:x>
      <cdr:y>0.6982</cdr:y>
    </cdr:to>
    <cdr:sp macro="" textlink="">
      <cdr:nvSpPr>
        <cdr:cNvPr id="5" name="TextBox 1"/>
        <cdr:cNvSpPr txBox="1"/>
      </cdr:nvSpPr>
      <cdr:spPr>
        <a:xfrm xmlns:a="http://schemas.openxmlformats.org/drawingml/2006/main" rot="16200000">
          <a:off x="-470513" y="755732"/>
          <a:ext cx="1191157" cy="250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HDL-k mg/dL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0.00625</cdr:x>
      <cdr:y>0.125</cdr:y>
    </cdr:from>
    <cdr:to>
      <cdr:x>0.0625</cdr:x>
      <cdr:y>0.745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405230" y="677050"/>
          <a:ext cx="1181102" cy="303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HDL-k mg/dL</a:t>
          </a:r>
        </a:p>
      </cdr:txBody>
    </cdr:sp>
  </cdr:relSizeAnchor>
  <cdr:relSizeAnchor xmlns:cdr="http://schemas.openxmlformats.org/drawingml/2006/chartDrawing">
    <cdr:from>
      <cdr:x>0.42361</cdr:x>
      <cdr:y>0.86921</cdr:y>
    </cdr:from>
    <cdr:to>
      <cdr:x>0.60139</cdr:x>
      <cdr:y>0.9545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936750" y="2384425"/>
          <a:ext cx="812806" cy="233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  <cdr:relSizeAnchor xmlns:cdr="http://schemas.openxmlformats.org/drawingml/2006/chartDrawing">
    <cdr:from>
      <cdr:x>0.42361</cdr:x>
      <cdr:y>0.86921</cdr:y>
    </cdr:from>
    <cdr:to>
      <cdr:x>0.60139</cdr:x>
      <cdr:y>0.9545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936750" y="2384425"/>
          <a:ext cx="812806" cy="233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  <cdr:relSizeAnchor xmlns:cdr="http://schemas.openxmlformats.org/drawingml/2006/chartDrawing">
    <cdr:from>
      <cdr:x>0.42361</cdr:x>
      <cdr:y>0.86921</cdr:y>
    </cdr:from>
    <cdr:to>
      <cdr:x>0.60139</cdr:x>
      <cdr:y>0.9545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1936750" y="2384425"/>
          <a:ext cx="812806" cy="233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n-US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0.41757</cdr:x>
      <cdr:y>0.87269</cdr:y>
    </cdr:from>
    <cdr:to>
      <cdr:x>0.59612</cdr:x>
      <cdr:y>0.94615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41507" y="2393957"/>
          <a:ext cx="787419" cy="2015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0.05625</cdr:x>
      <cdr:y>0.9207</cdr:y>
    </cdr:to>
    <cdr:sp macro="" textlink="">
      <cdr:nvSpPr>
        <cdr:cNvPr id="4" name="TextBox 1"/>
        <cdr:cNvSpPr txBox="1"/>
      </cdr:nvSpPr>
      <cdr:spPr>
        <a:xfrm xmlns:a="http://schemas.openxmlformats.org/drawingml/2006/main" rot="16200000">
          <a:off x="-841326" y="841325"/>
          <a:ext cx="1990725" cy="3080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Total Kolesterol (mg/dL)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0.42489</cdr:x>
      <cdr:y>0.86909</cdr:y>
    </cdr:from>
    <cdr:to>
      <cdr:x>0.60267</cdr:x>
      <cdr:y>0.9452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81882" y="2301302"/>
          <a:ext cx="787410" cy="201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0">
              <a:latin typeface="Times New Roman" pitchFamily="18" charset="0"/>
              <a:cs typeface="Times New Roman" pitchFamily="18" charset="0"/>
            </a:rPr>
            <a:t>Subjek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0.05625</cdr:x>
      <cdr:y>0.8985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993578" y="993578"/>
          <a:ext cx="2276477" cy="2893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Total Kolesterol (mg/dL)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3</cp:revision>
  <dcterms:created xsi:type="dcterms:W3CDTF">2017-08-16T08:45:00Z</dcterms:created>
  <dcterms:modified xsi:type="dcterms:W3CDTF">2017-08-16T09:05:00Z</dcterms:modified>
</cp:coreProperties>
</file>